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219" w:rsidRDefault="00B50219" w:rsidP="00B50219">
      <w:pPr>
        <w:jc w:val="both"/>
        <w:rPr>
          <w:rFonts w:ascii="Century Gothic" w:hAnsi="Century Gothic"/>
          <w:b/>
          <w:color w:val="0070C0"/>
        </w:rPr>
      </w:pPr>
      <w:r>
        <w:rPr>
          <w:rFonts w:ascii="Century Gothic" w:hAnsi="Century Gothic"/>
          <w:b/>
          <w:color w:val="0070C0"/>
        </w:rPr>
        <w:tab/>
      </w:r>
    </w:p>
    <w:p w:rsidR="00B50219" w:rsidRDefault="00B50219" w:rsidP="00B50219">
      <w:pPr>
        <w:jc w:val="both"/>
        <w:rPr>
          <w:rFonts w:ascii="Century Gothic" w:hAnsi="Century Gothic"/>
          <w:b/>
          <w:color w:val="0070C0"/>
        </w:rPr>
      </w:pPr>
    </w:p>
    <w:p w:rsidR="00B50219" w:rsidRDefault="00B50219" w:rsidP="00B50219">
      <w:pPr>
        <w:jc w:val="both"/>
        <w:rPr>
          <w:rFonts w:ascii="Century Gothic" w:hAnsi="Century Gothic"/>
          <w:b/>
          <w:color w:val="0070C0"/>
        </w:rPr>
      </w:pPr>
    </w:p>
    <w:p w:rsidR="00B50219" w:rsidRDefault="00B50219" w:rsidP="00B50219">
      <w:pPr>
        <w:jc w:val="both"/>
        <w:rPr>
          <w:rFonts w:ascii="Century Gothic" w:hAnsi="Century Gothic"/>
          <w:b/>
          <w:color w:val="0070C0"/>
        </w:rPr>
      </w:pPr>
    </w:p>
    <w:p w:rsidR="00B50219" w:rsidRDefault="00B50219" w:rsidP="00B50219">
      <w:pPr>
        <w:jc w:val="both"/>
        <w:rPr>
          <w:rFonts w:ascii="Century Gothic" w:hAnsi="Century Gothic"/>
          <w:b/>
          <w:color w:val="0070C0"/>
        </w:rPr>
      </w:pPr>
    </w:p>
    <w:p w:rsidR="00B50219" w:rsidRDefault="00B50219" w:rsidP="00B50219">
      <w:pPr>
        <w:jc w:val="both"/>
        <w:rPr>
          <w:rFonts w:ascii="Century Gothic" w:hAnsi="Century Gothic"/>
          <w:b/>
          <w:color w:val="0070C0"/>
        </w:rPr>
      </w:pPr>
    </w:p>
    <w:p w:rsidR="00B50219" w:rsidRDefault="00B50219" w:rsidP="00B50219">
      <w:pPr>
        <w:jc w:val="both"/>
        <w:rPr>
          <w:rFonts w:ascii="Century Gothic" w:hAnsi="Century Gothic"/>
          <w:b/>
          <w:color w:val="0070C0"/>
        </w:rPr>
      </w:pPr>
    </w:p>
    <w:p w:rsidR="00B50219" w:rsidRDefault="00B50219" w:rsidP="00B50219">
      <w:pPr>
        <w:tabs>
          <w:tab w:val="left" w:pos="6422"/>
        </w:tabs>
        <w:jc w:val="both"/>
        <w:rPr>
          <w:rFonts w:ascii="Century Gothic" w:hAnsi="Century Gothic"/>
          <w:b/>
          <w:color w:val="0070C0"/>
        </w:rPr>
      </w:pPr>
      <w:r>
        <w:rPr>
          <w:rFonts w:ascii="Century Gothic" w:hAnsi="Century Gothic"/>
          <w:b/>
          <w:color w:val="0070C0"/>
        </w:rPr>
        <w:tab/>
      </w:r>
    </w:p>
    <w:p w:rsidR="00B50219" w:rsidRDefault="00B50219" w:rsidP="00B50219">
      <w:pPr>
        <w:jc w:val="both"/>
        <w:rPr>
          <w:rFonts w:ascii="Century Gothic" w:hAnsi="Century Gothic"/>
          <w:b/>
          <w:color w:val="0070C0"/>
        </w:rPr>
      </w:pPr>
    </w:p>
    <w:p w:rsidR="00B50219" w:rsidRDefault="00B50219" w:rsidP="00B50219">
      <w:pPr>
        <w:jc w:val="both"/>
        <w:rPr>
          <w:rFonts w:ascii="Century Gothic" w:hAnsi="Century Gothic"/>
          <w:b/>
          <w:color w:val="008080"/>
        </w:rPr>
      </w:pPr>
    </w:p>
    <w:p w:rsidR="00B50219" w:rsidRDefault="00B50219" w:rsidP="00B50219">
      <w:pPr>
        <w:jc w:val="both"/>
        <w:rPr>
          <w:rFonts w:ascii="Century Gothic" w:hAnsi="Century Gothic"/>
          <w:b/>
          <w:color w:val="008080"/>
        </w:rPr>
      </w:pPr>
    </w:p>
    <w:p w:rsidR="00B50219" w:rsidRDefault="00B50219" w:rsidP="00B50219">
      <w:pPr>
        <w:jc w:val="both"/>
        <w:rPr>
          <w:rFonts w:ascii="Century Gothic" w:hAnsi="Century Gothic"/>
          <w:b/>
          <w:color w:val="008080"/>
        </w:rPr>
      </w:pPr>
    </w:p>
    <w:p w:rsidR="00B50219" w:rsidRDefault="00B50219" w:rsidP="00B50219">
      <w:pPr>
        <w:jc w:val="both"/>
        <w:rPr>
          <w:rFonts w:ascii="Century Gothic" w:hAnsi="Century Gothic"/>
          <w:b/>
          <w:color w:val="008080"/>
        </w:rPr>
      </w:pPr>
    </w:p>
    <w:p w:rsidR="00B50219" w:rsidRDefault="00B50219" w:rsidP="00B50219">
      <w:pPr>
        <w:jc w:val="both"/>
        <w:rPr>
          <w:rFonts w:ascii="Century Gothic" w:hAnsi="Century Gothic"/>
          <w:b/>
          <w:color w:val="008080"/>
        </w:rPr>
      </w:pPr>
    </w:p>
    <w:p w:rsidR="00B50219" w:rsidRDefault="00B50219" w:rsidP="00B50219">
      <w:pPr>
        <w:jc w:val="both"/>
        <w:rPr>
          <w:rFonts w:ascii="Century Gothic" w:hAnsi="Century Gothic"/>
          <w:b/>
          <w:color w:val="008080"/>
        </w:rPr>
      </w:pPr>
    </w:p>
    <w:p w:rsidR="00B50219" w:rsidRPr="00C7281C" w:rsidRDefault="00B50219" w:rsidP="00B50219">
      <w:pPr>
        <w:jc w:val="both"/>
        <w:rPr>
          <w:b/>
          <w:color w:val="ED7D31"/>
          <w:sz w:val="40"/>
        </w:rPr>
      </w:pPr>
      <w:r w:rsidRPr="00C7281C">
        <w:rPr>
          <w:b/>
          <w:color w:val="ED7D31"/>
          <w:sz w:val="40"/>
        </w:rPr>
        <w:t>POLÍTICA DE INVESTIMENTOS 2017</w:t>
      </w:r>
    </w:p>
    <w:p w:rsidR="00B50219" w:rsidRDefault="00B50219" w:rsidP="00B50219">
      <w:pPr>
        <w:rPr>
          <w:b/>
          <w:color w:val="008080"/>
          <w:sz w:val="20"/>
        </w:rPr>
      </w:pPr>
      <w:r w:rsidRPr="0098062C">
        <w:rPr>
          <w:color w:val="ED7D31"/>
        </w:rPr>
        <w:t>INSTITUTO DE PREVIDÊNCIA MUNICIPAL DE LAVRAS - LAVRASPREV</w:t>
      </w:r>
      <w:r>
        <w:rPr>
          <w:b/>
          <w:color w:val="008080"/>
          <w:sz w:val="20"/>
        </w:rPr>
        <w:br w:type="page"/>
      </w:r>
    </w:p>
    <w:p w:rsidR="00B50219" w:rsidRPr="001A464C" w:rsidRDefault="00B50219" w:rsidP="00B50219">
      <w:pPr>
        <w:spacing w:beforeLines="120" w:before="288"/>
        <w:jc w:val="both"/>
        <w:rPr>
          <w:rFonts w:asciiTheme="majorHAnsi" w:hAnsiTheme="majorHAnsi"/>
          <w:b/>
          <w:color w:val="008080"/>
          <w:sz w:val="20"/>
          <w:szCs w:val="20"/>
        </w:rPr>
      </w:pPr>
    </w:p>
    <w:sdt>
      <w:sdtPr>
        <w:rPr>
          <w:rFonts w:asciiTheme="minorHAnsi" w:eastAsiaTheme="minorHAnsi" w:hAnsiTheme="minorHAnsi" w:cstheme="minorBidi"/>
          <w:bCs/>
          <w:color w:val="7F7F7F" w:themeColor="text1" w:themeTint="80"/>
          <w:sz w:val="22"/>
          <w:szCs w:val="22"/>
          <w:lang w:eastAsia="en-US"/>
        </w:rPr>
        <w:id w:val="1261562148"/>
        <w:docPartObj>
          <w:docPartGallery w:val="Table of Contents"/>
          <w:docPartUnique/>
        </w:docPartObj>
      </w:sdtPr>
      <w:sdtEndPr>
        <w:rPr>
          <w:rFonts w:ascii="Times New Roman" w:eastAsia="Times New Roman" w:hAnsi="Times New Roman" w:cs="Times New Roman"/>
          <w:b/>
          <w:color w:val="auto"/>
          <w:sz w:val="20"/>
          <w:szCs w:val="20"/>
          <w:lang w:eastAsia="pt-BR"/>
        </w:rPr>
      </w:sdtEndPr>
      <w:sdtContent>
        <w:p w:rsidR="00B50219" w:rsidRPr="00C7281C" w:rsidRDefault="00B50219" w:rsidP="00B50219">
          <w:pPr>
            <w:pStyle w:val="CabealhodoSumrio"/>
            <w:jc w:val="center"/>
            <w:rPr>
              <w:rFonts w:asciiTheme="minorHAnsi" w:hAnsiTheme="minorHAnsi"/>
              <w:b/>
              <w:color w:val="ED7D31"/>
              <w:sz w:val="24"/>
              <w:szCs w:val="22"/>
              <w:u w:val="single"/>
              <w:lang w:eastAsia="en-US"/>
            </w:rPr>
          </w:pPr>
          <w:r w:rsidRPr="00C7281C">
            <w:rPr>
              <w:rFonts w:asciiTheme="minorHAnsi" w:hAnsiTheme="minorHAnsi"/>
              <w:b/>
              <w:color w:val="ED7D31"/>
              <w:sz w:val="24"/>
              <w:szCs w:val="22"/>
              <w:u w:val="single"/>
              <w:lang w:eastAsia="en-US"/>
            </w:rPr>
            <w:t>SUMÁRIO</w:t>
          </w:r>
        </w:p>
        <w:p w:rsidR="00B50219" w:rsidRPr="00DA46DB" w:rsidRDefault="00B50219" w:rsidP="00B50219"/>
        <w:p w:rsidR="00B50219" w:rsidRDefault="00B50219" w:rsidP="00B50219">
          <w:pPr>
            <w:pStyle w:val="Sumrio1"/>
            <w:tabs>
              <w:tab w:val="left" w:pos="440"/>
              <w:tab w:val="right" w:leader="dot" w:pos="8494"/>
            </w:tabs>
            <w:rPr>
              <w:rFonts w:eastAsiaTheme="minorEastAsia"/>
              <w:noProof/>
              <w:lang w:eastAsia="pt-BR"/>
            </w:rPr>
          </w:pPr>
          <w:r w:rsidRPr="00DA46DB">
            <w:rPr>
              <w:bCs/>
            </w:rPr>
            <w:fldChar w:fldCharType="begin"/>
          </w:r>
          <w:r w:rsidRPr="00DA46DB">
            <w:rPr>
              <w:bCs/>
            </w:rPr>
            <w:instrText xml:space="preserve"> TOC \o "1-3" \h \z \u </w:instrText>
          </w:r>
          <w:r w:rsidRPr="00DA46DB">
            <w:rPr>
              <w:bCs/>
            </w:rPr>
            <w:fldChar w:fldCharType="separate"/>
          </w:r>
          <w:hyperlink w:anchor="_Toc465935127" w:history="1">
            <w:r w:rsidRPr="00EE69A5">
              <w:rPr>
                <w:rStyle w:val="Hyperlink"/>
                <w:noProof/>
              </w:rPr>
              <w:t>1.</w:t>
            </w:r>
            <w:r>
              <w:rPr>
                <w:rFonts w:eastAsiaTheme="minorEastAsia"/>
                <w:noProof/>
                <w:lang w:eastAsia="pt-BR"/>
              </w:rPr>
              <w:tab/>
            </w:r>
            <w:r w:rsidRPr="00EE69A5">
              <w:rPr>
                <w:rStyle w:val="Hyperlink"/>
                <w:noProof/>
              </w:rPr>
              <w:t>INTRODUÇÃO</w:t>
            </w:r>
            <w:r>
              <w:rPr>
                <w:noProof/>
                <w:webHidden/>
              </w:rPr>
              <w:tab/>
            </w:r>
            <w:r>
              <w:rPr>
                <w:noProof/>
                <w:webHidden/>
              </w:rPr>
              <w:fldChar w:fldCharType="begin"/>
            </w:r>
            <w:r>
              <w:rPr>
                <w:noProof/>
                <w:webHidden/>
              </w:rPr>
              <w:instrText xml:space="preserve"> PAGEREF _Toc465935127 \h </w:instrText>
            </w:r>
            <w:r>
              <w:rPr>
                <w:noProof/>
                <w:webHidden/>
              </w:rPr>
            </w:r>
            <w:r>
              <w:rPr>
                <w:noProof/>
                <w:webHidden/>
              </w:rPr>
              <w:fldChar w:fldCharType="separate"/>
            </w:r>
            <w:r>
              <w:rPr>
                <w:noProof/>
                <w:webHidden/>
              </w:rPr>
              <w:t>3</w:t>
            </w:r>
            <w:r>
              <w:rPr>
                <w:noProof/>
                <w:webHidden/>
              </w:rPr>
              <w:fldChar w:fldCharType="end"/>
            </w:r>
          </w:hyperlink>
        </w:p>
        <w:p w:rsidR="00B50219" w:rsidRDefault="00B50219" w:rsidP="00B50219">
          <w:pPr>
            <w:pStyle w:val="Sumrio1"/>
            <w:tabs>
              <w:tab w:val="left" w:pos="440"/>
              <w:tab w:val="right" w:leader="dot" w:pos="8494"/>
            </w:tabs>
            <w:rPr>
              <w:rFonts w:eastAsiaTheme="minorEastAsia"/>
              <w:noProof/>
              <w:lang w:eastAsia="pt-BR"/>
            </w:rPr>
          </w:pPr>
          <w:hyperlink w:anchor="_Toc465935128" w:history="1">
            <w:r w:rsidRPr="00EE69A5">
              <w:rPr>
                <w:rStyle w:val="Hyperlink"/>
                <w:noProof/>
              </w:rPr>
              <w:t>2.</w:t>
            </w:r>
            <w:r>
              <w:rPr>
                <w:rFonts w:eastAsiaTheme="minorEastAsia"/>
                <w:noProof/>
                <w:lang w:eastAsia="pt-BR"/>
              </w:rPr>
              <w:tab/>
            </w:r>
            <w:r w:rsidRPr="00EE69A5">
              <w:rPr>
                <w:rStyle w:val="Hyperlink"/>
                <w:noProof/>
              </w:rPr>
              <w:t>OBJETIVO</w:t>
            </w:r>
            <w:r>
              <w:rPr>
                <w:noProof/>
                <w:webHidden/>
              </w:rPr>
              <w:tab/>
            </w:r>
            <w:r>
              <w:rPr>
                <w:noProof/>
                <w:webHidden/>
              </w:rPr>
              <w:fldChar w:fldCharType="begin"/>
            </w:r>
            <w:r>
              <w:rPr>
                <w:noProof/>
                <w:webHidden/>
              </w:rPr>
              <w:instrText xml:space="preserve"> PAGEREF _Toc465935128 \h </w:instrText>
            </w:r>
            <w:r>
              <w:rPr>
                <w:noProof/>
                <w:webHidden/>
              </w:rPr>
            </w:r>
            <w:r>
              <w:rPr>
                <w:noProof/>
                <w:webHidden/>
              </w:rPr>
              <w:fldChar w:fldCharType="separate"/>
            </w:r>
            <w:r>
              <w:rPr>
                <w:noProof/>
                <w:webHidden/>
              </w:rPr>
              <w:t>3</w:t>
            </w:r>
            <w:r>
              <w:rPr>
                <w:noProof/>
                <w:webHidden/>
              </w:rPr>
              <w:fldChar w:fldCharType="end"/>
            </w:r>
          </w:hyperlink>
        </w:p>
        <w:p w:rsidR="00B50219" w:rsidRDefault="00B50219" w:rsidP="00B50219">
          <w:pPr>
            <w:pStyle w:val="Sumrio1"/>
            <w:tabs>
              <w:tab w:val="left" w:pos="440"/>
              <w:tab w:val="right" w:leader="dot" w:pos="8494"/>
            </w:tabs>
            <w:rPr>
              <w:rFonts w:eastAsiaTheme="minorEastAsia"/>
              <w:noProof/>
              <w:lang w:eastAsia="pt-BR"/>
            </w:rPr>
          </w:pPr>
          <w:hyperlink w:anchor="_Toc465935129" w:history="1">
            <w:r w:rsidRPr="00EE69A5">
              <w:rPr>
                <w:rStyle w:val="Hyperlink"/>
                <w:noProof/>
              </w:rPr>
              <w:t>3.</w:t>
            </w:r>
            <w:r>
              <w:rPr>
                <w:rFonts w:eastAsiaTheme="minorEastAsia"/>
                <w:noProof/>
                <w:lang w:eastAsia="pt-BR"/>
              </w:rPr>
              <w:tab/>
            </w:r>
            <w:r w:rsidRPr="00EE69A5">
              <w:rPr>
                <w:rStyle w:val="Hyperlink"/>
                <w:noProof/>
              </w:rPr>
              <w:t>CENÁRIO ECONÔMICO PARA O EXERCÍCIO DE 2017</w:t>
            </w:r>
            <w:r>
              <w:rPr>
                <w:noProof/>
                <w:webHidden/>
              </w:rPr>
              <w:tab/>
            </w:r>
            <w:r>
              <w:rPr>
                <w:noProof/>
                <w:webHidden/>
              </w:rPr>
              <w:fldChar w:fldCharType="begin"/>
            </w:r>
            <w:r>
              <w:rPr>
                <w:noProof/>
                <w:webHidden/>
              </w:rPr>
              <w:instrText xml:space="preserve"> PAGEREF _Toc465935129 \h </w:instrText>
            </w:r>
            <w:r>
              <w:rPr>
                <w:noProof/>
                <w:webHidden/>
              </w:rPr>
            </w:r>
            <w:r>
              <w:rPr>
                <w:noProof/>
                <w:webHidden/>
              </w:rPr>
              <w:fldChar w:fldCharType="separate"/>
            </w:r>
            <w:r>
              <w:rPr>
                <w:noProof/>
                <w:webHidden/>
              </w:rPr>
              <w:t>3</w:t>
            </w:r>
            <w:r>
              <w:rPr>
                <w:noProof/>
                <w:webHidden/>
              </w:rPr>
              <w:fldChar w:fldCharType="end"/>
            </w:r>
          </w:hyperlink>
        </w:p>
        <w:p w:rsidR="00B50219" w:rsidRDefault="00B50219" w:rsidP="00B50219">
          <w:pPr>
            <w:pStyle w:val="Sumrio2"/>
            <w:tabs>
              <w:tab w:val="left" w:pos="880"/>
              <w:tab w:val="right" w:leader="dot" w:pos="8494"/>
            </w:tabs>
            <w:rPr>
              <w:rFonts w:eastAsiaTheme="minorEastAsia"/>
              <w:noProof/>
              <w:lang w:eastAsia="pt-BR"/>
            </w:rPr>
          </w:pPr>
          <w:hyperlink w:anchor="_Toc465935130" w:history="1">
            <w:r w:rsidRPr="00EE69A5">
              <w:rPr>
                <w:rStyle w:val="Hyperlink"/>
                <w:noProof/>
              </w:rPr>
              <w:t>3.1</w:t>
            </w:r>
            <w:r>
              <w:rPr>
                <w:rFonts w:eastAsiaTheme="minorEastAsia"/>
                <w:noProof/>
                <w:lang w:eastAsia="pt-BR"/>
              </w:rPr>
              <w:tab/>
            </w:r>
            <w:r w:rsidRPr="00EE69A5">
              <w:rPr>
                <w:rStyle w:val="Hyperlink"/>
                <w:noProof/>
              </w:rPr>
              <w:t>INTERNACIONAL - PERSPECTIVAS</w:t>
            </w:r>
            <w:r>
              <w:rPr>
                <w:noProof/>
                <w:webHidden/>
              </w:rPr>
              <w:tab/>
            </w:r>
            <w:r>
              <w:rPr>
                <w:noProof/>
                <w:webHidden/>
              </w:rPr>
              <w:fldChar w:fldCharType="begin"/>
            </w:r>
            <w:r>
              <w:rPr>
                <w:noProof/>
                <w:webHidden/>
              </w:rPr>
              <w:instrText xml:space="preserve"> PAGEREF _Toc465935130 \h </w:instrText>
            </w:r>
            <w:r>
              <w:rPr>
                <w:noProof/>
                <w:webHidden/>
              </w:rPr>
            </w:r>
            <w:r>
              <w:rPr>
                <w:noProof/>
                <w:webHidden/>
              </w:rPr>
              <w:fldChar w:fldCharType="separate"/>
            </w:r>
            <w:r>
              <w:rPr>
                <w:noProof/>
                <w:webHidden/>
              </w:rPr>
              <w:t>3</w:t>
            </w:r>
            <w:r>
              <w:rPr>
                <w:noProof/>
                <w:webHidden/>
              </w:rPr>
              <w:fldChar w:fldCharType="end"/>
            </w:r>
          </w:hyperlink>
        </w:p>
        <w:p w:rsidR="00B50219" w:rsidRDefault="00B50219" w:rsidP="00B50219">
          <w:pPr>
            <w:pStyle w:val="Sumrio2"/>
            <w:tabs>
              <w:tab w:val="left" w:pos="880"/>
              <w:tab w:val="right" w:leader="dot" w:pos="8494"/>
            </w:tabs>
            <w:rPr>
              <w:rFonts w:eastAsiaTheme="minorEastAsia"/>
              <w:noProof/>
              <w:lang w:eastAsia="pt-BR"/>
            </w:rPr>
          </w:pPr>
          <w:hyperlink w:anchor="_Toc465935131" w:history="1">
            <w:r w:rsidRPr="00EE69A5">
              <w:rPr>
                <w:rStyle w:val="Hyperlink"/>
                <w:noProof/>
              </w:rPr>
              <w:t>3.2</w:t>
            </w:r>
            <w:r>
              <w:rPr>
                <w:rFonts w:eastAsiaTheme="minorEastAsia"/>
                <w:noProof/>
                <w:lang w:eastAsia="pt-BR"/>
              </w:rPr>
              <w:tab/>
            </w:r>
            <w:r w:rsidRPr="00EE69A5">
              <w:rPr>
                <w:rStyle w:val="Hyperlink"/>
                <w:noProof/>
              </w:rPr>
              <w:t>NACIONAL – PERSPECTIVAS</w:t>
            </w:r>
            <w:r>
              <w:rPr>
                <w:noProof/>
                <w:webHidden/>
              </w:rPr>
              <w:tab/>
            </w:r>
            <w:r>
              <w:rPr>
                <w:noProof/>
                <w:webHidden/>
              </w:rPr>
              <w:fldChar w:fldCharType="begin"/>
            </w:r>
            <w:r>
              <w:rPr>
                <w:noProof/>
                <w:webHidden/>
              </w:rPr>
              <w:instrText xml:space="preserve"> PAGEREF _Toc465935131 \h </w:instrText>
            </w:r>
            <w:r>
              <w:rPr>
                <w:noProof/>
                <w:webHidden/>
              </w:rPr>
            </w:r>
            <w:r>
              <w:rPr>
                <w:noProof/>
                <w:webHidden/>
              </w:rPr>
              <w:fldChar w:fldCharType="separate"/>
            </w:r>
            <w:r>
              <w:rPr>
                <w:noProof/>
                <w:webHidden/>
              </w:rPr>
              <w:t>5</w:t>
            </w:r>
            <w:r>
              <w:rPr>
                <w:noProof/>
                <w:webHidden/>
              </w:rPr>
              <w:fldChar w:fldCharType="end"/>
            </w:r>
          </w:hyperlink>
        </w:p>
        <w:p w:rsidR="00B50219" w:rsidRDefault="00B50219" w:rsidP="00B50219">
          <w:pPr>
            <w:pStyle w:val="Sumrio2"/>
            <w:tabs>
              <w:tab w:val="left" w:pos="880"/>
              <w:tab w:val="right" w:leader="dot" w:pos="8494"/>
            </w:tabs>
            <w:rPr>
              <w:rFonts w:eastAsiaTheme="minorEastAsia"/>
              <w:noProof/>
              <w:lang w:eastAsia="pt-BR"/>
            </w:rPr>
          </w:pPr>
          <w:hyperlink w:anchor="_Toc465935132" w:history="1">
            <w:r w:rsidRPr="00EE69A5">
              <w:rPr>
                <w:rStyle w:val="Hyperlink"/>
                <w:noProof/>
              </w:rPr>
              <w:t>3.3</w:t>
            </w:r>
            <w:r>
              <w:rPr>
                <w:rFonts w:eastAsiaTheme="minorEastAsia"/>
                <w:noProof/>
                <w:lang w:eastAsia="pt-BR"/>
              </w:rPr>
              <w:tab/>
            </w:r>
            <w:r w:rsidRPr="00EE69A5">
              <w:rPr>
                <w:rStyle w:val="Hyperlink"/>
                <w:noProof/>
              </w:rPr>
              <w:t>EXPECTATIVAS DE MERCADO</w:t>
            </w:r>
            <w:r>
              <w:rPr>
                <w:noProof/>
                <w:webHidden/>
              </w:rPr>
              <w:tab/>
            </w:r>
            <w:r>
              <w:rPr>
                <w:noProof/>
                <w:webHidden/>
              </w:rPr>
              <w:fldChar w:fldCharType="begin"/>
            </w:r>
            <w:r>
              <w:rPr>
                <w:noProof/>
                <w:webHidden/>
              </w:rPr>
              <w:instrText xml:space="preserve"> PAGEREF _Toc465935132 \h </w:instrText>
            </w:r>
            <w:r>
              <w:rPr>
                <w:noProof/>
                <w:webHidden/>
              </w:rPr>
            </w:r>
            <w:r>
              <w:rPr>
                <w:noProof/>
                <w:webHidden/>
              </w:rPr>
              <w:fldChar w:fldCharType="separate"/>
            </w:r>
            <w:r>
              <w:rPr>
                <w:noProof/>
                <w:webHidden/>
              </w:rPr>
              <w:t>7</w:t>
            </w:r>
            <w:r>
              <w:rPr>
                <w:noProof/>
                <w:webHidden/>
              </w:rPr>
              <w:fldChar w:fldCharType="end"/>
            </w:r>
          </w:hyperlink>
        </w:p>
        <w:p w:rsidR="00B50219" w:rsidRDefault="00B50219" w:rsidP="00B50219">
          <w:pPr>
            <w:pStyle w:val="Sumrio1"/>
            <w:tabs>
              <w:tab w:val="left" w:pos="440"/>
              <w:tab w:val="right" w:leader="dot" w:pos="8494"/>
            </w:tabs>
            <w:rPr>
              <w:rFonts w:eastAsiaTheme="minorEastAsia"/>
              <w:noProof/>
              <w:lang w:eastAsia="pt-BR"/>
            </w:rPr>
          </w:pPr>
          <w:hyperlink w:anchor="_Toc465935133" w:history="1">
            <w:r w:rsidRPr="00EE69A5">
              <w:rPr>
                <w:rStyle w:val="Hyperlink"/>
                <w:noProof/>
              </w:rPr>
              <w:t>4.</w:t>
            </w:r>
            <w:r>
              <w:rPr>
                <w:rFonts w:eastAsiaTheme="minorEastAsia"/>
                <w:noProof/>
                <w:lang w:eastAsia="pt-BR"/>
              </w:rPr>
              <w:tab/>
            </w:r>
            <w:r w:rsidRPr="00EE69A5">
              <w:rPr>
                <w:rStyle w:val="Hyperlink"/>
                <w:noProof/>
              </w:rPr>
              <w:t>ALOCAÇÃO ESTRATÉGICA DOS RECURSOS</w:t>
            </w:r>
            <w:r>
              <w:rPr>
                <w:noProof/>
                <w:webHidden/>
              </w:rPr>
              <w:tab/>
            </w:r>
            <w:r>
              <w:rPr>
                <w:noProof/>
                <w:webHidden/>
              </w:rPr>
              <w:fldChar w:fldCharType="begin"/>
            </w:r>
            <w:r>
              <w:rPr>
                <w:noProof/>
                <w:webHidden/>
              </w:rPr>
              <w:instrText xml:space="preserve"> PAGEREF _Toc465935133 \h </w:instrText>
            </w:r>
            <w:r>
              <w:rPr>
                <w:noProof/>
                <w:webHidden/>
              </w:rPr>
            </w:r>
            <w:r>
              <w:rPr>
                <w:noProof/>
                <w:webHidden/>
              </w:rPr>
              <w:fldChar w:fldCharType="separate"/>
            </w:r>
            <w:r>
              <w:rPr>
                <w:noProof/>
                <w:webHidden/>
              </w:rPr>
              <w:t>8</w:t>
            </w:r>
            <w:r>
              <w:rPr>
                <w:noProof/>
                <w:webHidden/>
              </w:rPr>
              <w:fldChar w:fldCharType="end"/>
            </w:r>
          </w:hyperlink>
        </w:p>
        <w:p w:rsidR="00B50219" w:rsidRDefault="00B50219" w:rsidP="00B50219">
          <w:pPr>
            <w:pStyle w:val="Sumrio2"/>
            <w:tabs>
              <w:tab w:val="left" w:pos="880"/>
              <w:tab w:val="right" w:leader="dot" w:pos="8494"/>
            </w:tabs>
            <w:rPr>
              <w:rFonts w:eastAsiaTheme="minorEastAsia"/>
              <w:noProof/>
              <w:lang w:eastAsia="pt-BR"/>
            </w:rPr>
          </w:pPr>
          <w:hyperlink w:anchor="_Toc465935134" w:history="1">
            <w:r w:rsidRPr="00EE69A5">
              <w:rPr>
                <w:rStyle w:val="Hyperlink"/>
                <w:noProof/>
              </w:rPr>
              <w:t>4.1</w:t>
            </w:r>
            <w:r>
              <w:rPr>
                <w:rFonts w:eastAsiaTheme="minorEastAsia"/>
                <w:noProof/>
                <w:lang w:eastAsia="pt-BR"/>
              </w:rPr>
              <w:tab/>
            </w:r>
            <w:r w:rsidRPr="00EE69A5">
              <w:rPr>
                <w:rStyle w:val="Hyperlink"/>
                <w:noProof/>
              </w:rPr>
              <w:t>SEGMENTO DE RENDA FIXA</w:t>
            </w:r>
            <w:r>
              <w:rPr>
                <w:noProof/>
                <w:webHidden/>
              </w:rPr>
              <w:tab/>
            </w:r>
            <w:r>
              <w:rPr>
                <w:noProof/>
                <w:webHidden/>
              </w:rPr>
              <w:fldChar w:fldCharType="begin"/>
            </w:r>
            <w:r>
              <w:rPr>
                <w:noProof/>
                <w:webHidden/>
              </w:rPr>
              <w:instrText xml:space="preserve"> PAGEREF _Toc465935134 \h </w:instrText>
            </w:r>
            <w:r>
              <w:rPr>
                <w:noProof/>
                <w:webHidden/>
              </w:rPr>
            </w:r>
            <w:r>
              <w:rPr>
                <w:noProof/>
                <w:webHidden/>
              </w:rPr>
              <w:fldChar w:fldCharType="separate"/>
            </w:r>
            <w:r>
              <w:rPr>
                <w:noProof/>
                <w:webHidden/>
              </w:rPr>
              <w:t>9</w:t>
            </w:r>
            <w:r>
              <w:rPr>
                <w:noProof/>
                <w:webHidden/>
              </w:rPr>
              <w:fldChar w:fldCharType="end"/>
            </w:r>
          </w:hyperlink>
        </w:p>
        <w:p w:rsidR="00B50219" w:rsidRDefault="00B50219" w:rsidP="00B50219">
          <w:pPr>
            <w:pStyle w:val="Sumrio2"/>
            <w:tabs>
              <w:tab w:val="left" w:pos="880"/>
              <w:tab w:val="right" w:leader="dot" w:pos="8494"/>
            </w:tabs>
            <w:rPr>
              <w:rFonts w:eastAsiaTheme="minorEastAsia"/>
              <w:noProof/>
              <w:lang w:eastAsia="pt-BR"/>
            </w:rPr>
          </w:pPr>
          <w:hyperlink w:anchor="_Toc465935135" w:history="1">
            <w:r w:rsidRPr="00EE69A5">
              <w:rPr>
                <w:rStyle w:val="Hyperlink"/>
                <w:noProof/>
              </w:rPr>
              <w:t>4.2</w:t>
            </w:r>
            <w:r>
              <w:rPr>
                <w:rFonts w:eastAsiaTheme="minorEastAsia"/>
                <w:noProof/>
                <w:lang w:eastAsia="pt-BR"/>
              </w:rPr>
              <w:tab/>
            </w:r>
            <w:r w:rsidRPr="00EE69A5">
              <w:rPr>
                <w:rStyle w:val="Hyperlink"/>
                <w:noProof/>
              </w:rPr>
              <w:t>SEGMENTO DE RENDA VARIÁVEL</w:t>
            </w:r>
            <w:r>
              <w:rPr>
                <w:noProof/>
                <w:webHidden/>
              </w:rPr>
              <w:tab/>
            </w:r>
            <w:r>
              <w:rPr>
                <w:noProof/>
                <w:webHidden/>
              </w:rPr>
              <w:fldChar w:fldCharType="begin"/>
            </w:r>
            <w:r>
              <w:rPr>
                <w:noProof/>
                <w:webHidden/>
              </w:rPr>
              <w:instrText xml:space="preserve"> PAGEREF _Toc465935135 \h </w:instrText>
            </w:r>
            <w:r>
              <w:rPr>
                <w:noProof/>
                <w:webHidden/>
              </w:rPr>
            </w:r>
            <w:r>
              <w:rPr>
                <w:noProof/>
                <w:webHidden/>
              </w:rPr>
              <w:fldChar w:fldCharType="separate"/>
            </w:r>
            <w:r>
              <w:rPr>
                <w:noProof/>
                <w:webHidden/>
              </w:rPr>
              <w:t>10</w:t>
            </w:r>
            <w:r>
              <w:rPr>
                <w:noProof/>
                <w:webHidden/>
              </w:rPr>
              <w:fldChar w:fldCharType="end"/>
            </w:r>
          </w:hyperlink>
        </w:p>
        <w:p w:rsidR="00B50219" w:rsidRDefault="00B50219" w:rsidP="00B50219">
          <w:pPr>
            <w:pStyle w:val="Sumrio2"/>
            <w:tabs>
              <w:tab w:val="left" w:pos="880"/>
              <w:tab w:val="right" w:leader="dot" w:pos="8494"/>
            </w:tabs>
            <w:rPr>
              <w:rFonts w:eastAsiaTheme="minorEastAsia"/>
              <w:noProof/>
              <w:lang w:eastAsia="pt-BR"/>
            </w:rPr>
          </w:pPr>
          <w:hyperlink w:anchor="_Toc465935136" w:history="1">
            <w:r w:rsidRPr="00EE69A5">
              <w:rPr>
                <w:rStyle w:val="Hyperlink"/>
                <w:noProof/>
              </w:rPr>
              <w:t>4.3</w:t>
            </w:r>
            <w:r>
              <w:rPr>
                <w:rFonts w:eastAsiaTheme="minorEastAsia"/>
                <w:noProof/>
                <w:lang w:eastAsia="pt-BR"/>
              </w:rPr>
              <w:tab/>
            </w:r>
            <w:r w:rsidRPr="00EE69A5">
              <w:rPr>
                <w:rStyle w:val="Hyperlink"/>
                <w:noProof/>
              </w:rPr>
              <w:t>SEGMENTO DE IMÓVEIS</w:t>
            </w:r>
            <w:r>
              <w:rPr>
                <w:noProof/>
                <w:webHidden/>
              </w:rPr>
              <w:tab/>
            </w:r>
            <w:r>
              <w:rPr>
                <w:noProof/>
                <w:webHidden/>
              </w:rPr>
              <w:fldChar w:fldCharType="begin"/>
            </w:r>
            <w:r>
              <w:rPr>
                <w:noProof/>
                <w:webHidden/>
              </w:rPr>
              <w:instrText xml:space="preserve"> PAGEREF _Toc465935136 \h </w:instrText>
            </w:r>
            <w:r>
              <w:rPr>
                <w:noProof/>
                <w:webHidden/>
              </w:rPr>
            </w:r>
            <w:r>
              <w:rPr>
                <w:noProof/>
                <w:webHidden/>
              </w:rPr>
              <w:fldChar w:fldCharType="separate"/>
            </w:r>
            <w:r>
              <w:rPr>
                <w:noProof/>
                <w:webHidden/>
              </w:rPr>
              <w:t>10</w:t>
            </w:r>
            <w:r>
              <w:rPr>
                <w:noProof/>
                <w:webHidden/>
              </w:rPr>
              <w:fldChar w:fldCharType="end"/>
            </w:r>
          </w:hyperlink>
        </w:p>
        <w:p w:rsidR="00B50219" w:rsidRDefault="00B50219" w:rsidP="00B50219">
          <w:pPr>
            <w:pStyle w:val="Sumrio2"/>
            <w:tabs>
              <w:tab w:val="left" w:pos="880"/>
              <w:tab w:val="right" w:leader="dot" w:pos="8494"/>
            </w:tabs>
            <w:rPr>
              <w:rFonts w:eastAsiaTheme="minorEastAsia"/>
              <w:noProof/>
              <w:lang w:eastAsia="pt-BR"/>
            </w:rPr>
          </w:pPr>
          <w:hyperlink w:anchor="_Toc465935137" w:history="1">
            <w:r w:rsidRPr="00EE69A5">
              <w:rPr>
                <w:rStyle w:val="Hyperlink"/>
                <w:noProof/>
              </w:rPr>
              <w:t>4.4</w:t>
            </w:r>
            <w:r>
              <w:rPr>
                <w:rFonts w:eastAsiaTheme="minorEastAsia"/>
                <w:noProof/>
                <w:lang w:eastAsia="pt-BR"/>
              </w:rPr>
              <w:tab/>
            </w:r>
            <w:r w:rsidRPr="00EE69A5">
              <w:rPr>
                <w:rStyle w:val="Hyperlink"/>
                <w:noProof/>
              </w:rPr>
              <w:t>ENQUADRAMENTO</w:t>
            </w:r>
            <w:r>
              <w:rPr>
                <w:noProof/>
                <w:webHidden/>
              </w:rPr>
              <w:tab/>
            </w:r>
            <w:r>
              <w:rPr>
                <w:noProof/>
                <w:webHidden/>
              </w:rPr>
              <w:fldChar w:fldCharType="begin"/>
            </w:r>
            <w:r>
              <w:rPr>
                <w:noProof/>
                <w:webHidden/>
              </w:rPr>
              <w:instrText xml:space="preserve"> PAGEREF _Toc465935137 \h </w:instrText>
            </w:r>
            <w:r>
              <w:rPr>
                <w:noProof/>
                <w:webHidden/>
              </w:rPr>
            </w:r>
            <w:r>
              <w:rPr>
                <w:noProof/>
                <w:webHidden/>
              </w:rPr>
              <w:fldChar w:fldCharType="separate"/>
            </w:r>
            <w:r>
              <w:rPr>
                <w:noProof/>
                <w:webHidden/>
              </w:rPr>
              <w:t>10</w:t>
            </w:r>
            <w:r>
              <w:rPr>
                <w:noProof/>
                <w:webHidden/>
              </w:rPr>
              <w:fldChar w:fldCharType="end"/>
            </w:r>
          </w:hyperlink>
        </w:p>
        <w:p w:rsidR="00B50219" w:rsidRDefault="00B50219" w:rsidP="00B50219">
          <w:pPr>
            <w:pStyle w:val="Sumrio2"/>
            <w:tabs>
              <w:tab w:val="left" w:pos="880"/>
              <w:tab w:val="right" w:leader="dot" w:pos="8494"/>
            </w:tabs>
            <w:rPr>
              <w:rFonts w:eastAsiaTheme="minorEastAsia"/>
              <w:noProof/>
              <w:lang w:eastAsia="pt-BR"/>
            </w:rPr>
          </w:pPr>
          <w:hyperlink w:anchor="_Toc465935138" w:history="1">
            <w:r w:rsidRPr="00EE69A5">
              <w:rPr>
                <w:rStyle w:val="Hyperlink"/>
                <w:noProof/>
              </w:rPr>
              <w:t>4.5</w:t>
            </w:r>
            <w:r>
              <w:rPr>
                <w:rFonts w:eastAsiaTheme="minorEastAsia"/>
                <w:noProof/>
                <w:lang w:eastAsia="pt-BR"/>
              </w:rPr>
              <w:tab/>
            </w:r>
            <w:r w:rsidRPr="00EE69A5">
              <w:rPr>
                <w:rStyle w:val="Hyperlink"/>
                <w:noProof/>
              </w:rPr>
              <w:t>VEDAÇÕES</w:t>
            </w:r>
            <w:r>
              <w:rPr>
                <w:noProof/>
                <w:webHidden/>
              </w:rPr>
              <w:tab/>
            </w:r>
            <w:r>
              <w:rPr>
                <w:noProof/>
                <w:webHidden/>
              </w:rPr>
              <w:fldChar w:fldCharType="begin"/>
            </w:r>
            <w:r>
              <w:rPr>
                <w:noProof/>
                <w:webHidden/>
              </w:rPr>
              <w:instrText xml:space="preserve"> PAGEREF _Toc465935138 \h </w:instrText>
            </w:r>
            <w:r>
              <w:rPr>
                <w:noProof/>
                <w:webHidden/>
              </w:rPr>
            </w:r>
            <w:r>
              <w:rPr>
                <w:noProof/>
                <w:webHidden/>
              </w:rPr>
              <w:fldChar w:fldCharType="separate"/>
            </w:r>
            <w:r>
              <w:rPr>
                <w:noProof/>
                <w:webHidden/>
              </w:rPr>
              <w:t>10</w:t>
            </w:r>
            <w:r>
              <w:rPr>
                <w:noProof/>
                <w:webHidden/>
              </w:rPr>
              <w:fldChar w:fldCharType="end"/>
            </w:r>
          </w:hyperlink>
        </w:p>
        <w:p w:rsidR="00B50219" w:rsidRDefault="00B50219" w:rsidP="00B50219">
          <w:pPr>
            <w:pStyle w:val="Sumrio2"/>
            <w:tabs>
              <w:tab w:val="left" w:pos="880"/>
              <w:tab w:val="right" w:leader="dot" w:pos="8494"/>
            </w:tabs>
            <w:rPr>
              <w:rFonts w:eastAsiaTheme="minorEastAsia"/>
              <w:noProof/>
              <w:lang w:eastAsia="pt-BR"/>
            </w:rPr>
          </w:pPr>
          <w:hyperlink w:anchor="_Toc465935139" w:history="1">
            <w:r w:rsidRPr="00EE69A5">
              <w:rPr>
                <w:rStyle w:val="Hyperlink"/>
                <w:noProof/>
              </w:rPr>
              <w:t>6.1</w:t>
            </w:r>
            <w:r>
              <w:rPr>
                <w:rFonts w:eastAsiaTheme="minorEastAsia"/>
                <w:noProof/>
                <w:lang w:eastAsia="pt-BR"/>
              </w:rPr>
              <w:tab/>
            </w:r>
            <w:r w:rsidRPr="00EE69A5">
              <w:rPr>
                <w:rStyle w:val="Hyperlink"/>
                <w:noProof/>
              </w:rPr>
              <w:t>GESTÃO PRÓPRIA</w:t>
            </w:r>
            <w:r>
              <w:rPr>
                <w:noProof/>
                <w:webHidden/>
              </w:rPr>
              <w:tab/>
            </w:r>
            <w:r>
              <w:rPr>
                <w:noProof/>
                <w:webHidden/>
              </w:rPr>
              <w:fldChar w:fldCharType="begin"/>
            </w:r>
            <w:r>
              <w:rPr>
                <w:noProof/>
                <w:webHidden/>
              </w:rPr>
              <w:instrText xml:space="preserve"> PAGEREF _Toc465935139 \h </w:instrText>
            </w:r>
            <w:r>
              <w:rPr>
                <w:noProof/>
                <w:webHidden/>
              </w:rPr>
            </w:r>
            <w:r>
              <w:rPr>
                <w:noProof/>
                <w:webHidden/>
              </w:rPr>
              <w:fldChar w:fldCharType="separate"/>
            </w:r>
            <w:r>
              <w:rPr>
                <w:noProof/>
                <w:webHidden/>
              </w:rPr>
              <w:t>12</w:t>
            </w:r>
            <w:r>
              <w:rPr>
                <w:noProof/>
                <w:webHidden/>
              </w:rPr>
              <w:fldChar w:fldCharType="end"/>
            </w:r>
          </w:hyperlink>
        </w:p>
        <w:p w:rsidR="00B50219" w:rsidRDefault="00B50219" w:rsidP="00B50219">
          <w:pPr>
            <w:pStyle w:val="Sumrio2"/>
            <w:tabs>
              <w:tab w:val="left" w:pos="880"/>
              <w:tab w:val="right" w:leader="dot" w:pos="8494"/>
            </w:tabs>
            <w:rPr>
              <w:rFonts w:eastAsiaTheme="minorEastAsia"/>
              <w:noProof/>
              <w:lang w:eastAsia="pt-BR"/>
            </w:rPr>
          </w:pPr>
          <w:hyperlink w:anchor="_Toc465935140" w:history="1">
            <w:r w:rsidRPr="00EE69A5">
              <w:rPr>
                <w:rStyle w:val="Hyperlink"/>
                <w:noProof/>
              </w:rPr>
              <w:t>6.2</w:t>
            </w:r>
            <w:r>
              <w:rPr>
                <w:rFonts w:eastAsiaTheme="minorEastAsia"/>
                <w:noProof/>
                <w:lang w:eastAsia="pt-BR"/>
              </w:rPr>
              <w:tab/>
            </w:r>
            <w:r w:rsidRPr="00EE69A5">
              <w:rPr>
                <w:rStyle w:val="Hyperlink"/>
                <w:noProof/>
              </w:rPr>
              <w:t>ÓRGÃOS DE EXECUÇÃO</w:t>
            </w:r>
            <w:r>
              <w:rPr>
                <w:noProof/>
                <w:webHidden/>
              </w:rPr>
              <w:tab/>
            </w:r>
            <w:r>
              <w:rPr>
                <w:noProof/>
                <w:webHidden/>
              </w:rPr>
              <w:fldChar w:fldCharType="begin"/>
            </w:r>
            <w:r>
              <w:rPr>
                <w:noProof/>
                <w:webHidden/>
              </w:rPr>
              <w:instrText xml:space="preserve"> PAGEREF _Toc465935140 \h </w:instrText>
            </w:r>
            <w:r>
              <w:rPr>
                <w:noProof/>
                <w:webHidden/>
              </w:rPr>
            </w:r>
            <w:r>
              <w:rPr>
                <w:noProof/>
                <w:webHidden/>
              </w:rPr>
              <w:fldChar w:fldCharType="separate"/>
            </w:r>
            <w:r>
              <w:rPr>
                <w:noProof/>
                <w:webHidden/>
              </w:rPr>
              <w:t>12</w:t>
            </w:r>
            <w:r>
              <w:rPr>
                <w:noProof/>
                <w:webHidden/>
              </w:rPr>
              <w:fldChar w:fldCharType="end"/>
            </w:r>
          </w:hyperlink>
        </w:p>
        <w:p w:rsidR="00B50219" w:rsidRDefault="00B50219" w:rsidP="00B50219">
          <w:pPr>
            <w:pStyle w:val="Sumrio2"/>
            <w:tabs>
              <w:tab w:val="left" w:pos="880"/>
              <w:tab w:val="right" w:leader="dot" w:pos="8494"/>
            </w:tabs>
            <w:rPr>
              <w:rFonts w:eastAsiaTheme="minorEastAsia"/>
              <w:noProof/>
              <w:lang w:eastAsia="pt-BR"/>
            </w:rPr>
          </w:pPr>
          <w:hyperlink w:anchor="_Toc465935141" w:history="1">
            <w:r w:rsidRPr="00EE69A5">
              <w:rPr>
                <w:rStyle w:val="Hyperlink"/>
                <w:noProof/>
              </w:rPr>
              <w:t>7.1</w:t>
            </w:r>
            <w:r>
              <w:rPr>
                <w:rFonts w:eastAsiaTheme="minorEastAsia"/>
                <w:noProof/>
                <w:lang w:eastAsia="pt-BR"/>
              </w:rPr>
              <w:tab/>
            </w:r>
            <w:r w:rsidRPr="00EE69A5">
              <w:rPr>
                <w:rStyle w:val="Hyperlink"/>
                <w:noProof/>
              </w:rPr>
              <w:t>CONTROLE DO RISCO DE MERCADO</w:t>
            </w:r>
            <w:r>
              <w:rPr>
                <w:noProof/>
                <w:webHidden/>
              </w:rPr>
              <w:tab/>
            </w:r>
            <w:r>
              <w:rPr>
                <w:noProof/>
                <w:webHidden/>
              </w:rPr>
              <w:fldChar w:fldCharType="begin"/>
            </w:r>
            <w:r>
              <w:rPr>
                <w:noProof/>
                <w:webHidden/>
              </w:rPr>
              <w:instrText xml:space="preserve"> PAGEREF _Toc465935141 \h </w:instrText>
            </w:r>
            <w:r>
              <w:rPr>
                <w:noProof/>
                <w:webHidden/>
              </w:rPr>
            </w:r>
            <w:r>
              <w:rPr>
                <w:noProof/>
                <w:webHidden/>
              </w:rPr>
              <w:fldChar w:fldCharType="separate"/>
            </w:r>
            <w:r>
              <w:rPr>
                <w:noProof/>
                <w:webHidden/>
              </w:rPr>
              <w:t>13</w:t>
            </w:r>
            <w:r>
              <w:rPr>
                <w:noProof/>
                <w:webHidden/>
              </w:rPr>
              <w:fldChar w:fldCharType="end"/>
            </w:r>
          </w:hyperlink>
        </w:p>
        <w:p w:rsidR="00B50219" w:rsidRDefault="00B50219" w:rsidP="00B50219">
          <w:pPr>
            <w:pStyle w:val="Sumrio2"/>
            <w:tabs>
              <w:tab w:val="left" w:pos="880"/>
              <w:tab w:val="right" w:leader="dot" w:pos="8494"/>
            </w:tabs>
            <w:rPr>
              <w:rFonts w:eastAsiaTheme="minorEastAsia"/>
              <w:noProof/>
              <w:lang w:eastAsia="pt-BR"/>
            </w:rPr>
          </w:pPr>
          <w:hyperlink w:anchor="_Toc465935142" w:history="1">
            <w:r w:rsidRPr="00EE69A5">
              <w:rPr>
                <w:rStyle w:val="Hyperlink"/>
                <w:noProof/>
              </w:rPr>
              <w:t>7.2</w:t>
            </w:r>
            <w:r>
              <w:rPr>
                <w:rFonts w:eastAsiaTheme="minorEastAsia"/>
                <w:noProof/>
                <w:lang w:eastAsia="pt-BR"/>
              </w:rPr>
              <w:tab/>
            </w:r>
            <w:r w:rsidRPr="00EE69A5">
              <w:rPr>
                <w:rStyle w:val="Hyperlink"/>
                <w:noProof/>
              </w:rPr>
              <w:t>CONTROLE DO RISCO DE CRÉDITO</w:t>
            </w:r>
            <w:r>
              <w:rPr>
                <w:noProof/>
                <w:webHidden/>
              </w:rPr>
              <w:tab/>
            </w:r>
            <w:r>
              <w:rPr>
                <w:noProof/>
                <w:webHidden/>
              </w:rPr>
              <w:fldChar w:fldCharType="begin"/>
            </w:r>
            <w:r>
              <w:rPr>
                <w:noProof/>
                <w:webHidden/>
              </w:rPr>
              <w:instrText xml:space="preserve"> PAGEREF _Toc465935142 \h </w:instrText>
            </w:r>
            <w:r>
              <w:rPr>
                <w:noProof/>
                <w:webHidden/>
              </w:rPr>
            </w:r>
            <w:r>
              <w:rPr>
                <w:noProof/>
                <w:webHidden/>
              </w:rPr>
              <w:fldChar w:fldCharType="separate"/>
            </w:r>
            <w:r>
              <w:rPr>
                <w:noProof/>
                <w:webHidden/>
              </w:rPr>
              <w:t>13</w:t>
            </w:r>
            <w:r>
              <w:rPr>
                <w:noProof/>
                <w:webHidden/>
              </w:rPr>
              <w:fldChar w:fldCharType="end"/>
            </w:r>
          </w:hyperlink>
        </w:p>
        <w:p w:rsidR="00B50219" w:rsidRDefault="00B50219" w:rsidP="00B50219">
          <w:pPr>
            <w:pStyle w:val="Sumrio2"/>
            <w:tabs>
              <w:tab w:val="left" w:pos="880"/>
              <w:tab w:val="right" w:leader="dot" w:pos="8494"/>
            </w:tabs>
            <w:rPr>
              <w:rFonts w:eastAsiaTheme="minorEastAsia"/>
              <w:noProof/>
              <w:lang w:eastAsia="pt-BR"/>
            </w:rPr>
          </w:pPr>
          <w:hyperlink w:anchor="_Toc465935143" w:history="1">
            <w:r w:rsidRPr="00EE69A5">
              <w:rPr>
                <w:rStyle w:val="Hyperlink"/>
                <w:noProof/>
              </w:rPr>
              <w:t>7.3</w:t>
            </w:r>
            <w:r>
              <w:rPr>
                <w:rFonts w:eastAsiaTheme="minorEastAsia"/>
                <w:noProof/>
                <w:lang w:eastAsia="pt-BR"/>
              </w:rPr>
              <w:tab/>
            </w:r>
            <w:r w:rsidRPr="00EE69A5">
              <w:rPr>
                <w:rStyle w:val="Hyperlink"/>
                <w:noProof/>
              </w:rPr>
              <w:t>CONTROLE DO RISCO DE LIQUIDEZ</w:t>
            </w:r>
            <w:r>
              <w:rPr>
                <w:noProof/>
                <w:webHidden/>
              </w:rPr>
              <w:tab/>
            </w:r>
            <w:r>
              <w:rPr>
                <w:noProof/>
                <w:webHidden/>
              </w:rPr>
              <w:fldChar w:fldCharType="begin"/>
            </w:r>
            <w:r>
              <w:rPr>
                <w:noProof/>
                <w:webHidden/>
              </w:rPr>
              <w:instrText xml:space="preserve"> PAGEREF _Toc465935143 \h </w:instrText>
            </w:r>
            <w:r>
              <w:rPr>
                <w:noProof/>
                <w:webHidden/>
              </w:rPr>
            </w:r>
            <w:r>
              <w:rPr>
                <w:noProof/>
                <w:webHidden/>
              </w:rPr>
              <w:fldChar w:fldCharType="separate"/>
            </w:r>
            <w:r>
              <w:rPr>
                <w:noProof/>
                <w:webHidden/>
              </w:rPr>
              <w:t>14</w:t>
            </w:r>
            <w:r>
              <w:rPr>
                <w:noProof/>
                <w:webHidden/>
              </w:rPr>
              <w:fldChar w:fldCharType="end"/>
            </w:r>
          </w:hyperlink>
        </w:p>
        <w:p w:rsidR="00B50219" w:rsidRDefault="00B50219" w:rsidP="00B50219">
          <w:pPr>
            <w:pStyle w:val="Sumrio2"/>
            <w:tabs>
              <w:tab w:val="left" w:pos="880"/>
              <w:tab w:val="right" w:leader="dot" w:pos="8494"/>
            </w:tabs>
            <w:rPr>
              <w:rFonts w:eastAsiaTheme="minorEastAsia"/>
              <w:noProof/>
              <w:lang w:eastAsia="pt-BR"/>
            </w:rPr>
          </w:pPr>
          <w:hyperlink w:anchor="_Toc465935144" w:history="1">
            <w:r w:rsidRPr="00EE69A5">
              <w:rPr>
                <w:rStyle w:val="Hyperlink"/>
                <w:noProof/>
              </w:rPr>
              <w:t>9.1</w:t>
            </w:r>
            <w:r>
              <w:rPr>
                <w:rFonts w:eastAsiaTheme="minorEastAsia"/>
                <w:noProof/>
                <w:lang w:eastAsia="pt-BR"/>
              </w:rPr>
              <w:tab/>
            </w:r>
            <w:r w:rsidRPr="00EE69A5">
              <w:rPr>
                <w:rStyle w:val="Hyperlink"/>
                <w:noProof/>
              </w:rPr>
              <w:t>PROCESSO DE SELEÇÃO E AVALIAÇÃO DE GESTORES/ADMINISTRADORES</w:t>
            </w:r>
            <w:r>
              <w:rPr>
                <w:noProof/>
                <w:webHidden/>
              </w:rPr>
              <w:tab/>
            </w:r>
            <w:r>
              <w:rPr>
                <w:noProof/>
                <w:webHidden/>
              </w:rPr>
              <w:fldChar w:fldCharType="begin"/>
            </w:r>
            <w:r>
              <w:rPr>
                <w:noProof/>
                <w:webHidden/>
              </w:rPr>
              <w:instrText xml:space="preserve"> PAGEREF _Toc465935144 \h </w:instrText>
            </w:r>
            <w:r>
              <w:rPr>
                <w:noProof/>
                <w:webHidden/>
              </w:rPr>
            </w:r>
            <w:r>
              <w:rPr>
                <w:noProof/>
                <w:webHidden/>
              </w:rPr>
              <w:fldChar w:fldCharType="separate"/>
            </w:r>
            <w:r>
              <w:rPr>
                <w:noProof/>
                <w:webHidden/>
              </w:rPr>
              <w:t>15</w:t>
            </w:r>
            <w:r>
              <w:rPr>
                <w:noProof/>
                <w:webHidden/>
              </w:rPr>
              <w:fldChar w:fldCharType="end"/>
            </w:r>
          </w:hyperlink>
        </w:p>
        <w:p w:rsidR="00B50219" w:rsidRDefault="00B50219" w:rsidP="00B50219">
          <w:pPr>
            <w:pStyle w:val="Sumrio1"/>
            <w:tabs>
              <w:tab w:val="left" w:pos="660"/>
              <w:tab w:val="right" w:leader="dot" w:pos="8494"/>
            </w:tabs>
            <w:rPr>
              <w:rFonts w:eastAsiaTheme="minorEastAsia"/>
              <w:noProof/>
              <w:lang w:eastAsia="pt-BR"/>
            </w:rPr>
          </w:pPr>
          <w:hyperlink w:anchor="_Toc465935145" w:history="1">
            <w:r w:rsidRPr="00EE69A5">
              <w:rPr>
                <w:rStyle w:val="Hyperlink"/>
                <w:noProof/>
              </w:rPr>
              <w:t>11.</w:t>
            </w:r>
            <w:r>
              <w:rPr>
                <w:rFonts w:eastAsiaTheme="minorEastAsia"/>
                <w:noProof/>
                <w:lang w:eastAsia="pt-BR"/>
              </w:rPr>
              <w:tab/>
            </w:r>
            <w:r w:rsidRPr="00EE69A5">
              <w:rPr>
                <w:rStyle w:val="Hyperlink"/>
                <w:noProof/>
              </w:rPr>
              <w:t>DISPOSIÇÕES GERAIS</w:t>
            </w:r>
            <w:r>
              <w:rPr>
                <w:noProof/>
                <w:webHidden/>
              </w:rPr>
              <w:tab/>
            </w:r>
            <w:r>
              <w:rPr>
                <w:noProof/>
                <w:webHidden/>
              </w:rPr>
              <w:fldChar w:fldCharType="begin"/>
            </w:r>
            <w:r>
              <w:rPr>
                <w:noProof/>
                <w:webHidden/>
              </w:rPr>
              <w:instrText xml:space="preserve"> PAGEREF _Toc465935145 \h </w:instrText>
            </w:r>
            <w:r>
              <w:rPr>
                <w:noProof/>
                <w:webHidden/>
              </w:rPr>
            </w:r>
            <w:r>
              <w:rPr>
                <w:noProof/>
                <w:webHidden/>
              </w:rPr>
              <w:fldChar w:fldCharType="separate"/>
            </w:r>
            <w:r>
              <w:rPr>
                <w:noProof/>
                <w:webHidden/>
              </w:rPr>
              <w:t>18</w:t>
            </w:r>
            <w:r>
              <w:rPr>
                <w:noProof/>
                <w:webHidden/>
              </w:rPr>
              <w:fldChar w:fldCharType="end"/>
            </w:r>
          </w:hyperlink>
        </w:p>
        <w:p w:rsidR="00B50219" w:rsidRDefault="00B50219" w:rsidP="00B50219">
          <w:pPr>
            <w:pStyle w:val="Sumrio1"/>
            <w:tabs>
              <w:tab w:val="right" w:leader="dot" w:pos="8494"/>
            </w:tabs>
            <w:rPr>
              <w:rFonts w:eastAsiaTheme="minorEastAsia"/>
              <w:noProof/>
              <w:lang w:eastAsia="pt-BR"/>
            </w:rPr>
          </w:pPr>
          <w:hyperlink w:anchor="_Toc465935146" w:history="1">
            <w:r w:rsidRPr="00EE69A5">
              <w:rPr>
                <w:rStyle w:val="Hyperlink"/>
                <w:noProof/>
              </w:rPr>
              <w:t>DISCLAIMER</w:t>
            </w:r>
            <w:r>
              <w:rPr>
                <w:noProof/>
                <w:webHidden/>
              </w:rPr>
              <w:tab/>
            </w:r>
            <w:r>
              <w:rPr>
                <w:noProof/>
                <w:webHidden/>
              </w:rPr>
              <w:fldChar w:fldCharType="begin"/>
            </w:r>
            <w:r>
              <w:rPr>
                <w:noProof/>
                <w:webHidden/>
              </w:rPr>
              <w:instrText xml:space="preserve"> PAGEREF _Toc465935146 \h </w:instrText>
            </w:r>
            <w:r>
              <w:rPr>
                <w:noProof/>
                <w:webHidden/>
              </w:rPr>
            </w:r>
            <w:r>
              <w:rPr>
                <w:noProof/>
                <w:webHidden/>
              </w:rPr>
              <w:fldChar w:fldCharType="separate"/>
            </w:r>
            <w:r>
              <w:rPr>
                <w:noProof/>
                <w:webHidden/>
              </w:rPr>
              <w:t>19</w:t>
            </w:r>
            <w:r>
              <w:rPr>
                <w:noProof/>
                <w:webHidden/>
              </w:rPr>
              <w:fldChar w:fldCharType="end"/>
            </w:r>
          </w:hyperlink>
        </w:p>
        <w:p w:rsidR="00B50219" w:rsidRPr="001A464C" w:rsidRDefault="00B50219" w:rsidP="00B50219">
          <w:pPr>
            <w:spacing w:beforeLines="120" w:before="288"/>
            <w:jc w:val="both"/>
            <w:rPr>
              <w:rFonts w:asciiTheme="majorHAnsi" w:hAnsiTheme="majorHAnsi"/>
              <w:sz w:val="20"/>
              <w:szCs w:val="20"/>
            </w:rPr>
          </w:pPr>
          <w:r w:rsidRPr="00DA46DB">
            <w:rPr>
              <w:bCs/>
              <w:color w:val="7F7F7F" w:themeColor="text1" w:themeTint="80"/>
            </w:rPr>
            <w:fldChar w:fldCharType="end"/>
          </w:r>
        </w:p>
      </w:sdtContent>
    </w:sdt>
    <w:p w:rsidR="00B50219" w:rsidRDefault="00B50219" w:rsidP="00B50219">
      <w:pPr>
        <w:spacing w:beforeLines="120" w:before="288"/>
        <w:jc w:val="both"/>
        <w:rPr>
          <w:rFonts w:asciiTheme="majorHAnsi" w:hAnsiTheme="majorHAnsi"/>
          <w:sz w:val="20"/>
          <w:szCs w:val="20"/>
        </w:rPr>
      </w:pPr>
    </w:p>
    <w:p w:rsidR="00B50219" w:rsidRDefault="00B50219" w:rsidP="00B50219">
      <w:pPr>
        <w:spacing w:beforeLines="120" w:before="288"/>
        <w:jc w:val="both"/>
        <w:rPr>
          <w:rFonts w:asciiTheme="majorHAnsi" w:hAnsiTheme="majorHAnsi"/>
          <w:sz w:val="20"/>
          <w:szCs w:val="20"/>
        </w:rPr>
      </w:pPr>
    </w:p>
    <w:p w:rsidR="00B50219" w:rsidRDefault="00B50219" w:rsidP="00B50219">
      <w:pPr>
        <w:spacing w:beforeLines="120" w:before="288"/>
        <w:jc w:val="both"/>
        <w:rPr>
          <w:rFonts w:asciiTheme="majorHAnsi" w:hAnsiTheme="majorHAnsi"/>
          <w:sz w:val="20"/>
          <w:szCs w:val="20"/>
        </w:rPr>
      </w:pPr>
    </w:p>
    <w:p w:rsidR="00B50219" w:rsidRDefault="00B50219" w:rsidP="00B50219">
      <w:pPr>
        <w:spacing w:beforeLines="120" w:before="288"/>
        <w:jc w:val="both"/>
        <w:rPr>
          <w:rFonts w:asciiTheme="majorHAnsi" w:hAnsiTheme="majorHAnsi"/>
          <w:sz w:val="20"/>
          <w:szCs w:val="20"/>
        </w:rPr>
      </w:pPr>
    </w:p>
    <w:p w:rsidR="00B50219" w:rsidRPr="00C7281C" w:rsidRDefault="00B50219" w:rsidP="00B50219">
      <w:pPr>
        <w:pStyle w:val="Ttulo1"/>
        <w:numPr>
          <w:ilvl w:val="0"/>
          <w:numId w:val="15"/>
        </w:numPr>
        <w:ind w:left="0" w:firstLine="0"/>
      </w:pPr>
      <w:bookmarkStart w:id="0" w:name="_Toc435202736"/>
      <w:bookmarkStart w:id="1" w:name="_Toc465935127"/>
      <w:r w:rsidRPr="00C7281C">
        <w:t>INTRODUÇÃO</w:t>
      </w:r>
      <w:bookmarkEnd w:id="0"/>
      <w:bookmarkEnd w:id="1"/>
    </w:p>
    <w:p w:rsidR="00B50219" w:rsidRPr="001A464C" w:rsidRDefault="00B50219" w:rsidP="00B50219">
      <w:pPr>
        <w:spacing w:beforeLines="120" w:before="288"/>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 xml:space="preserve">Atendendo à Resolução do Conselho Monetário Nacional - CMN nº 3.922, de 25 de novembro de 2010, alterada pela Resolução CMN n° 4.392, de 19 de dezembro de 2014, doravante denominada simplesmente “Resolução CMN nº 3.922/2010”, o Comitê de Investimentos do </w:t>
      </w:r>
      <w:r w:rsidRPr="0098062C">
        <w:rPr>
          <w:rFonts w:asciiTheme="majorHAnsi" w:hAnsiTheme="majorHAnsi"/>
          <w:bCs/>
          <w:color w:val="7F7F7F" w:themeColor="text1" w:themeTint="80"/>
          <w:sz w:val="20"/>
          <w:szCs w:val="20"/>
        </w:rPr>
        <w:t xml:space="preserve">INSTITUTO DE </w:t>
      </w:r>
      <w:r w:rsidRPr="0098062C">
        <w:rPr>
          <w:rFonts w:asciiTheme="majorHAnsi" w:hAnsiTheme="majorHAnsi"/>
          <w:bCs/>
          <w:color w:val="7F7F7F" w:themeColor="text1" w:themeTint="80"/>
          <w:sz w:val="20"/>
          <w:szCs w:val="20"/>
        </w:rPr>
        <w:lastRenderedPageBreak/>
        <w:t>PREVIDÊNCIA MUNICIPAL DE LAVRAS</w:t>
      </w:r>
      <w:r w:rsidRPr="001A464C">
        <w:rPr>
          <w:rFonts w:asciiTheme="majorHAnsi" w:hAnsiTheme="majorHAnsi"/>
          <w:bCs/>
          <w:color w:val="7F7F7F" w:themeColor="text1" w:themeTint="80"/>
          <w:sz w:val="20"/>
          <w:szCs w:val="20"/>
        </w:rPr>
        <w:t>, apresenta sua Política de Investimentos para o exercício de 2017, aprovada por seu órgão superior competente.</w:t>
      </w:r>
    </w:p>
    <w:p w:rsidR="00B50219" w:rsidRPr="001A464C" w:rsidRDefault="00B50219" w:rsidP="00B50219">
      <w:pPr>
        <w:spacing w:beforeLines="120" w:before="288"/>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 xml:space="preserve">A elaboração da Política de Investimentos representa uma formalidade legal que fundamenta e norteia todos os processos de tomada de decisões relativo aos investimentos dos Regimes Próprios de Previdência Social – </w:t>
      </w:r>
      <w:proofErr w:type="spellStart"/>
      <w:r w:rsidRPr="001A464C">
        <w:rPr>
          <w:rFonts w:asciiTheme="majorHAnsi" w:hAnsiTheme="majorHAnsi"/>
          <w:bCs/>
          <w:color w:val="7F7F7F" w:themeColor="text1" w:themeTint="80"/>
          <w:sz w:val="20"/>
          <w:szCs w:val="20"/>
        </w:rPr>
        <w:t>RPPS’s</w:t>
      </w:r>
      <w:proofErr w:type="spellEnd"/>
      <w:r w:rsidRPr="001A464C">
        <w:rPr>
          <w:rFonts w:asciiTheme="majorHAnsi" w:hAnsiTheme="majorHAnsi"/>
          <w:bCs/>
          <w:color w:val="7F7F7F" w:themeColor="text1" w:themeTint="80"/>
          <w:sz w:val="20"/>
          <w:szCs w:val="20"/>
        </w:rPr>
        <w:t>, empregada como instrumento necessário para garantir a consistência da gestão dos recursos em busca do equilíbrio econômico-financeiro.</w:t>
      </w:r>
    </w:p>
    <w:p w:rsidR="00B50219" w:rsidRDefault="00B50219" w:rsidP="00B50219">
      <w:pPr>
        <w:spacing w:beforeLines="120" w:before="288"/>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Os fundamentos para a elaboração da presente Política de Investimentos estão centrados em critérios técnicos de grande relevância. Ressalta-se que o principal a ser observado, para que se trabalhe com parâmetros sólidos, é aquele referente à análise do fluxo de caixa atuarial da entidade, ou seja, o equilíbrio entre ativo e passivo, levando-se em consideração as reservas técnicas atuariais (ativos) e as reservas matemáticas (passivo) projetadas pelo cálculo atuarial.</w:t>
      </w:r>
    </w:p>
    <w:p w:rsidR="00B50219" w:rsidRPr="001A464C" w:rsidRDefault="00B50219" w:rsidP="00B50219">
      <w:pPr>
        <w:spacing w:beforeLines="120" w:before="288"/>
        <w:jc w:val="both"/>
        <w:rPr>
          <w:rFonts w:asciiTheme="majorHAnsi" w:hAnsiTheme="majorHAnsi"/>
          <w:bCs/>
          <w:color w:val="7F7F7F" w:themeColor="text1" w:themeTint="80"/>
          <w:sz w:val="20"/>
          <w:szCs w:val="20"/>
        </w:rPr>
      </w:pPr>
    </w:p>
    <w:p w:rsidR="00B50219" w:rsidRPr="00C7281C" w:rsidRDefault="00B50219" w:rsidP="00B50219">
      <w:pPr>
        <w:pStyle w:val="Ttulo1"/>
        <w:numPr>
          <w:ilvl w:val="0"/>
          <w:numId w:val="15"/>
        </w:numPr>
        <w:ind w:left="0" w:firstLine="0"/>
      </w:pPr>
      <w:bookmarkStart w:id="2" w:name="_Toc435202737"/>
      <w:bookmarkStart w:id="3" w:name="_Toc465935128"/>
      <w:r w:rsidRPr="00C7281C">
        <w:t>OBJETIVO</w:t>
      </w:r>
      <w:bookmarkEnd w:id="2"/>
      <w:bookmarkEnd w:id="3"/>
    </w:p>
    <w:p w:rsidR="00B50219" w:rsidRPr="001A464C" w:rsidRDefault="00B50219" w:rsidP="00B50219">
      <w:pPr>
        <w:spacing w:beforeLines="120" w:before="288"/>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 xml:space="preserve">A Política de Investimentos do </w:t>
      </w:r>
      <w:r w:rsidRPr="0098062C">
        <w:rPr>
          <w:rFonts w:asciiTheme="majorHAnsi" w:hAnsiTheme="majorHAnsi"/>
          <w:bCs/>
          <w:color w:val="7F7F7F" w:themeColor="text1" w:themeTint="80"/>
          <w:sz w:val="20"/>
          <w:szCs w:val="20"/>
        </w:rPr>
        <w:t xml:space="preserve">INSTITUTO DE PREVIDÊNCIA MUNICIPAL DE LAVRAS </w:t>
      </w:r>
      <w:r w:rsidRPr="001A464C">
        <w:rPr>
          <w:rFonts w:asciiTheme="majorHAnsi" w:hAnsiTheme="majorHAnsi"/>
          <w:bCs/>
          <w:color w:val="7F7F7F" w:themeColor="text1" w:themeTint="80"/>
          <w:sz w:val="20"/>
          <w:szCs w:val="20"/>
        </w:rPr>
        <w:t>tem como objetivo estabelecer as diretrizes das aplicações dos recursos garantidores dos pagamentos dos segurados e beneficiários do regime, visando atingir a meta atuarial definida para garantir a manutenção do seu equilíbrio econômico-financeiro e atuarial, tendo sempre presentes os princípios da boa governança, da segurança, rentabilidade, solvência, liquidez e transparência.</w:t>
      </w:r>
    </w:p>
    <w:p w:rsidR="00B50219" w:rsidRPr="001A464C" w:rsidRDefault="00B50219" w:rsidP="00B50219">
      <w:pPr>
        <w:spacing w:beforeLines="120" w:before="288"/>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 xml:space="preserve">A Política de Investimentos tem ainda, como objetivo específico, zelar pela eficiência na condução das operações relativas às aplicações dos recursos, buscando alocar os investimentos em instituições que possuam as seguintes características: </w:t>
      </w:r>
      <w:r w:rsidRPr="001A464C">
        <w:rPr>
          <w:rFonts w:asciiTheme="majorHAnsi" w:hAnsiTheme="majorHAnsi"/>
          <w:b/>
          <w:bCs/>
          <w:color w:val="7F7F7F" w:themeColor="text1" w:themeTint="80"/>
          <w:sz w:val="20"/>
          <w:szCs w:val="20"/>
        </w:rPr>
        <w:t>solidez patrimonial, experiência positiva no exercício da atividade de administração e gestão de grandes volumes de recursos e em ativos com adequada relação risco X retorno</w:t>
      </w:r>
      <w:r w:rsidRPr="001A464C">
        <w:rPr>
          <w:rFonts w:asciiTheme="majorHAnsi" w:hAnsiTheme="majorHAnsi"/>
          <w:bCs/>
          <w:color w:val="7F7F7F" w:themeColor="text1" w:themeTint="80"/>
          <w:sz w:val="20"/>
          <w:szCs w:val="20"/>
        </w:rPr>
        <w:t>.</w:t>
      </w:r>
    </w:p>
    <w:p w:rsidR="00B50219" w:rsidRDefault="00B50219" w:rsidP="00B50219">
      <w:pPr>
        <w:spacing w:beforeLines="120" w:before="288"/>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Para cumprimento do objetivo específico e considerando as perspectivas do cenário econômico, a política estabelecerá a modalidade e os limites legais e operacionais, buscando a mais adequada alocação dos ativos, à vista do perfil do passivo no curto, médio e longo prazo, atendendo aos requisitos da Resolução CMN nº 3.922/2010.</w:t>
      </w:r>
    </w:p>
    <w:p w:rsidR="00B50219" w:rsidRPr="001A464C" w:rsidRDefault="00B50219" w:rsidP="00B50219">
      <w:pPr>
        <w:spacing w:beforeLines="120" w:before="288"/>
        <w:jc w:val="both"/>
        <w:rPr>
          <w:rFonts w:asciiTheme="majorHAnsi" w:hAnsiTheme="majorHAnsi"/>
          <w:bCs/>
          <w:color w:val="7F7F7F" w:themeColor="text1" w:themeTint="80"/>
          <w:sz w:val="20"/>
          <w:szCs w:val="20"/>
        </w:rPr>
      </w:pPr>
    </w:p>
    <w:p w:rsidR="00B50219" w:rsidRPr="00C7281C" w:rsidRDefault="00B50219" w:rsidP="00B50219">
      <w:pPr>
        <w:pStyle w:val="Ttulo1"/>
        <w:numPr>
          <w:ilvl w:val="0"/>
          <w:numId w:val="15"/>
        </w:numPr>
        <w:ind w:left="0" w:firstLine="0"/>
      </w:pPr>
      <w:bookmarkStart w:id="4" w:name="_Toc435202738"/>
      <w:bookmarkStart w:id="5" w:name="_Toc465935129"/>
      <w:r w:rsidRPr="00C7281C">
        <w:t>CENÁRIO ECONÔMICO PARA O EXERCÍCIO DE 201</w:t>
      </w:r>
      <w:bookmarkStart w:id="6" w:name="_Toc435202739"/>
      <w:bookmarkEnd w:id="4"/>
      <w:r w:rsidRPr="00C7281C">
        <w:t>7</w:t>
      </w:r>
      <w:bookmarkEnd w:id="5"/>
    </w:p>
    <w:p w:rsidR="00B50219" w:rsidRPr="00C7281C" w:rsidRDefault="00B50219" w:rsidP="00B50219">
      <w:pPr>
        <w:pStyle w:val="Ttulo2"/>
        <w:numPr>
          <w:ilvl w:val="1"/>
          <w:numId w:val="15"/>
        </w:numPr>
        <w:spacing w:before="120" w:after="0" w:line="240" w:lineRule="auto"/>
        <w:ind w:left="0" w:firstLine="0"/>
        <w:jc w:val="both"/>
        <w:rPr>
          <w:szCs w:val="20"/>
        </w:rPr>
      </w:pPr>
      <w:bookmarkStart w:id="7" w:name="_Toc465935130"/>
      <w:bookmarkEnd w:id="6"/>
      <w:r w:rsidRPr="00C7281C">
        <w:rPr>
          <w:szCs w:val="20"/>
        </w:rPr>
        <w:t>INTERNACIONAL - PERSPECTIVAS</w:t>
      </w:r>
      <w:bookmarkEnd w:id="7"/>
    </w:p>
    <w:p w:rsidR="00B50219" w:rsidRPr="00DA46DB" w:rsidRDefault="00B50219" w:rsidP="00B50219">
      <w:pPr>
        <w:spacing w:before="120"/>
        <w:jc w:val="both"/>
        <w:rPr>
          <w:bCs/>
          <w:color w:val="7F7F7F" w:themeColor="text1" w:themeTint="80"/>
          <w:sz w:val="20"/>
          <w:szCs w:val="20"/>
        </w:rPr>
      </w:pPr>
      <w:r w:rsidRPr="00DA46DB">
        <w:rPr>
          <w:bCs/>
          <w:color w:val="7F7F7F" w:themeColor="text1" w:themeTint="80"/>
          <w:sz w:val="20"/>
          <w:szCs w:val="20"/>
        </w:rPr>
        <w:t>Para o OCDE - Organização para a Cooperação e Desenvolvimento Econômico, os bancos centrais mundiais estão perto de suas capacidades para estimular o crescimento econômico global. Para o Banco de Compensações Internacionais – BIS, os bancos centrais deveriam aprender a viver com taxas de inflação abaixo de suas metas, em vez de alimentarem o crescimento da dívida com políticas de estímulos cada vez mais agressivas.</w:t>
      </w:r>
    </w:p>
    <w:p w:rsidR="00B50219" w:rsidRPr="00DA46DB" w:rsidRDefault="00B50219" w:rsidP="00B50219">
      <w:pPr>
        <w:spacing w:before="120"/>
        <w:jc w:val="both"/>
        <w:rPr>
          <w:bCs/>
          <w:color w:val="7F7F7F" w:themeColor="text1" w:themeTint="80"/>
          <w:sz w:val="20"/>
          <w:szCs w:val="20"/>
        </w:rPr>
      </w:pPr>
      <w:r w:rsidRPr="00DA46DB">
        <w:rPr>
          <w:bCs/>
          <w:color w:val="7F7F7F" w:themeColor="text1" w:themeTint="80"/>
          <w:sz w:val="20"/>
          <w:szCs w:val="20"/>
        </w:rPr>
        <w:t>Em seu relatório denominado Perspectiva Econômica Mundial, divulgado já no mês de outubro, o FMI estimou que o crescimento global em 2016 será de 3,1% e não mais 3,4%, conforme a estimativa anterior. Para 2017, também reduziu a expectativa para um crescimento de 3,4% e não mais 3,5%.</w:t>
      </w:r>
    </w:p>
    <w:p w:rsidR="00B50219" w:rsidRPr="00DA46DB" w:rsidRDefault="00B50219" w:rsidP="00B50219">
      <w:pPr>
        <w:spacing w:before="120"/>
        <w:jc w:val="both"/>
        <w:rPr>
          <w:bCs/>
          <w:color w:val="7F7F7F" w:themeColor="text1" w:themeTint="80"/>
          <w:sz w:val="20"/>
          <w:szCs w:val="20"/>
        </w:rPr>
      </w:pPr>
      <w:r w:rsidRPr="00DA46DB">
        <w:rPr>
          <w:bCs/>
          <w:color w:val="7F7F7F" w:themeColor="text1" w:themeTint="80"/>
          <w:sz w:val="20"/>
          <w:szCs w:val="20"/>
        </w:rPr>
        <w:lastRenderedPageBreak/>
        <w:t xml:space="preserve">Portanto, o crescimento mundial será um pouco maior por conta de melhoras nas economias emergentes e em desenvolvimento, com alguma recuperação das </w:t>
      </w:r>
      <w:r w:rsidRPr="00DA46DB">
        <w:rPr>
          <w:bCs/>
          <w:i/>
          <w:color w:val="7F7F7F" w:themeColor="text1" w:themeTint="80"/>
          <w:sz w:val="20"/>
          <w:szCs w:val="20"/>
        </w:rPr>
        <w:t>commodities</w:t>
      </w:r>
      <w:r w:rsidRPr="00DA46DB">
        <w:rPr>
          <w:bCs/>
          <w:color w:val="7F7F7F" w:themeColor="text1" w:themeTint="80"/>
          <w:sz w:val="20"/>
          <w:szCs w:val="20"/>
        </w:rPr>
        <w:t xml:space="preserve"> e pela retomada da economia americana, por conta de maiores investimentos. Para as economias desenvolvidas, exceto os EUA e principalmente as europeias, as perspectivas não se alterem muito em relação ao momento atual. Os juros e a inflação continuarão muito baixos. O crescimento das economias desenvolvidas como um todo terá leve aceleração e irá de 1,6% em 2016 para 1,8% em 2017.</w:t>
      </w:r>
    </w:p>
    <w:p w:rsidR="00B50219" w:rsidRPr="00DA46DB" w:rsidRDefault="00B50219" w:rsidP="00B50219">
      <w:pPr>
        <w:spacing w:before="120"/>
        <w:jc w:val="both"/>
        <w:rPr>
          <w:bCs/>
          <w:color w:val="7F7F7F" w:themeColor="text1" w:themeTint="80"/>
          <w:sz w:val="20"/>
          <w:szCs w:val="20"/>
        </w:rPr>
      </w:pPr>
      <w:r w:rsidRPr="00DA46DB">
        <w:rPr>
          <w:bCs/>
          <w:color w:val="7F7F7F" w:themeColor="text1" w:themeTint="80"/>
          <w:sz w:val="20"/>
          <w:szCs w:val="20"/>
        </w:rPr>
        <w:t>Em relação à zona do euro, o FMI aumentou a expectativa de crescimento do PIB de 1,6% para 1,7% em 2016 e de 1,4% para 1,5% em 2017. Para a economia alemã, a maior do bloco, estimou também 1,7% em 2016 e 1,4% em 2017. Para a economia francesa estimou um crescimento de 1,3%, este ano e de 1,3% no próximo. Para a italiana, 0,8% e 0,9% e para a espanhola 3,1% e 2,2%, respectivamente.</w:t>
      </w:r>
    </w:p>
    <w:p w:rsidR="00B50219" w:rsidRPr="00DA46DB" w:rsidRDefault="00B50219" w:rsidP="00B50219">
      <w:pPr>
        <w:spacing w:before="120"/>
        <w:jc w:val="both"/>
        <w:rPr>
          <w:bCs/>
          <w:color w:val="7F7F7F" w:themeColor="text1" w:themeTint="80"/>
          <w:sz w:val="20"/>
          <w:szCs w:val="20"/>
        </w:rPr>
      </w:pPr>
      <w:r w:rsidRPr="00DA46DB">
        <w:rPr>
          <w:bCs/>
          <w:color w:val="7F7F7F" w:themeColor="text1" w:themeTint="80"/>
          <w:sz w:val="20"/>
          <w:szCs w:val="20"/>
        </w:rPr>
        <w:t xml:space="preserve">Para o Reino Unido, membro da União Europeia, o FMI aumentou a sua estimativa para a evolução do PIB, em 2016, de 1,7% para 1,8% e por conta do </w:t>
      </w:r>
      <w:proofErr w:type="spellStart"/>
      <w:r w:rsidRPr="00DA46DB">
        <w:rPr>
          <w:bCs/>
          <w:color w:val="7F7F7F" w:themeColor="text1" w:themeTint="80"/>
          <w:sz w:val="20"/>
          <w:szCs w:val="20"/>
        </w:rPr>
        <w:t>Brexit</w:t>
      </w:r>
      <w:proofErr w:type="spellEnd"/>
      <w:r w:rsidRPr="00DA46DB">
        <w:rPr>
          <w:bCs/>
          <w:color w:val="7F7F7F" w:themeColor="text1" w:themeTint="80"/>
          <w:sz w:val="20"/>
          <w:szCs w:val="20"/>
        </w:rPr>
        <w:t xml:space="preserve"> diminuiu a de 2017 de 1,3% para 1,1%. Já para a Rússia, país emergente do continente europeu, o FMI projetou a queda da atividade de 0,8% para este ano e uma alta de 1,1% para o próximo.</w:t>
      </w:r>
    </w:p>
    <w:p w:rsidR="00B50219" w:rsidRPr="00DA46DB" w:rsidRDefault="00B50219" w:rsidP="00B50219">
      <w:pPr>
        <w:spacing w:before="120"/>
        <w:jc w:val="both"/>
        <w:rPr>
          <w:bCs/>
          <w:color w:val="7F7F7F" w:themeColor="text1" w:themeTint="80"/>
          <w:sz w:val="20"/>
          <w:szCs w:val="20"/>
        </w:rPr>
      </w:pPr>
      <w:r w:rsidRPr="00DA46DB">
        <w:rPr>
          <w:bCs/>
          <w:color w:val="7F7F7F" w:themeColor="text1" w:themeTint="80"/>
          <w:sz w:val="20"/>
          <w:szCs w:val="20"/>
        </w:rPr>
        <w:t>A principal preocupação para 2017 repousa na evolução da política monetária, já que o programa de compra de ativos do BCE deverá terminar em março. Ainda faz parte do temor dos economistas a deflação e as perdas que as instituições financeiras estão tendo com os juros negativos.</w:t>
      </w:r>
    </w:p>
    <w:p w:rsidR="00B50219" w:rsidRPr="00DA46DB" w:rsidRDefault="00B50219" w:rsidP="00B50219">
      <w:pPr>
        <w:spacing w:before="120"/>
        <w:jc w:val="both"/>
        <w:rPr>
          <w:bCs/>
          <w:color w:val="7F7F7F" w:themeColor="text1" w:themeTint="80"/>
          <w:sz w:val="20"/>
          <w:szCs w:val="20"/>
        </w:rPr>
      </w:pPr>
      <w:r w:rsidRPr="00DA46DB">
        <w:rPr>
          <w:bCs/>
          <w:color w:val="7F7F7F" w:themeColor="text1" w:themeTint="80"/>
          <w:sz w:val="20"/>
          <w:szCs w:val="20"/>
        </w:rPr>
        <w:t>O FMI acredita que a economia americana crescerá 1,6% em 2016 e 2,2% em 2017.</w:t>
      </w:r>
    </w:p>
    <w:p w:rsidR="00B50219" w:rsidRPr="00DA46DB" w:rsidRDefault="00B50219" w:rsidP="00B50219">
      <w:pPr>
        <w:spacing w:before="120"/>
        <w:jc w:val="both"/>
        <w:rPr>
          <w:bCs/>
          <w:color w:val="7F7F7F" w:themeColor="text1" w:themeTint="80"/>
          <w:sz w:val="20"/>
          <w:szCs w:val="20"/>
        </w:rPr>
      </w:pPr>
      <w:r w:rsidRPr="00DA46DB">
        <w:rPr>
          <w:bCs/>
          <w:color w:val="7F7F7F" w:themeColor="text1" w:themeTint="80"/>
          <w:sz w:val="20"/>
          <w:szCs w:val="20"/>
        </w:rPr>
        <w:t xml:space="preserve">Prestes a passar por uma eleição presidencial, o mercado financeiro acredita que a nova chefia nos EUA vai ser praticamente igual a anterior. Na hipótese de uma vitória republicana, o revés nos mercados poderia ser significativo. Enquanto isso é aguardada a próxima movimentação em direção à taxa de juros. </w:t>
      </w:r>
    </w:p>
    <w:p w:rsidR="00B50219" w:rsidRPr="00DA46DB" w:rsidRDefault="00B50219" w:rsidP="00B50219">
      <w:pPr>
        <w:spacing w:before="120"/>
        <w:jc w:val="both"/>
        <w:rPr>
          <w:bCs/>
          <w:color w:val="7F7F7F" w:themeColor="text1" w:themeTint="80"/>
          <w:sz w:val="20"/>
          <w:szCs w:val="20"/>
        </w:rPr>
      </w:pPr>
      <w:r w:rsidRPr="00DA46DB">
        <w:rPr>
          <w:bCs/>
          <w:color w:val="7F7F7F" w:themeColor="text1" w:themeTint="80"/>
          <w:sz w:val="20"/>
          <w:szCs w:val="20"/>
        </w:rPr>
        <w:t xml:space="preserve">É possível deduzir, de comunicados do FED, que a elevação da taxa básica deverá se dar até o final deste ano e que em 2017 os aumentos se darão de forma bem gradual, tendo sido sugeridas duas elevações de taxa durante o ano. Dessa forma o impacto nos mercados emergentes poderá não ser significativo, em termos de precificação e volatilidade. </w:t>
      </w:r>
    </w:p>
    <w:p w:rsidR="00B50219" w:rsidRPr="00DA46DB" w:rsidRDefault="00B50219" w:rsidP="00B50219">
      <w:pPr>
        <w:spacing w:before="120"/>
        <w:jc w:val="both"/>
        <w:rPr>
          <w:bCs/>
          <w:color w:val="7F7F7F" w:themeColor="text1" w:themeTint="80"/>
          <w:sz w:val="20"/>
          <w:szCs w:val="20"/>
        </w:rPr>
      </w:pPr>
      <w:r w:rsidRPr="00DA46DB">
        <w:rPr>
          <w:bCs/>
          <w:color w:val="7F7F7F" w:themeColor="text1" w:themeTint="80"/>
          <w:sz w:val="20"/>
          <w:szCs w:val="20"/>
        </w:rPr>
        <w:t>O mercado de trabalho deverá permanecer robusto e é esperado um aumento dos salários com a sua consolidação. A dúvida ainda repousa no comportamento da inflação, que parece aumentar.</w:t>
      </w:r>
    </w:p>
    <w:p w:rsidR="00B50219" w:rsidRPr="00DA46DB" w:rsidRDefault="00B50219" w:rsidP="00B50219">
      <w:pPr>
        <w:spacing w:before="120"/>
        <w:jc w:val="both"/>
        <w:rPr>
          <w:bCs/>
          <w:color w:val="7F7F7F" w:themeColor="text1" w:themeTint="80"/>
          <w:sz w:val="20"/>
          <w:szCs w:val="20"/>
        </w:rPr>
      </w:pPr>
      <w:r w:rsidRPr="00DA46DB">
        <w:rPr>
          <w:bCs/>
          <w:color w:val="7F7F7F" w:themeColor="text1" w:themeTint="80"/>
          <w:sz w:val="20"/>
          <w:szCs w:val="20"/>
        </w:rPr>
        <w:t>Para a China, o FMI projeta uma evolução do PIB de 6,6% em 2016 e de 6,2% em 2017. Já o governo, o país precisará de esforços intensos para atingir as metas econômicas anuais, na medida em que a economia continua sob pressão. Permanecem grandes dificuldades para atingir particularmente as metas de investimento e de expansão do comércio interno e internacional, principalmente. A mudança do modelo exportador para o voltado para o consumo interno continuará em progressão, exigindo tempo para a sua consolidação.</w:t>
      </w:r>
    </w:p>
    <w:p w:rsidR="00B50219" w:rsidRPr="00DA46DB" w:rsidRDefault="00B50219" w:rsidP="00B50219">
      <w:pPr>
        <w:spacing w:before="120"/>
        <w:jc w:val="both"/>
        <w:rPr>
          <w:bCs/>
          <w:color w:val="7F7F7F" w:themeColor="text1" w:themeTint="80"/>
          <w:sz w:val="20"/>
          <w:szCs w:val="20"/>
        </w:rPr>
      </w:pPr>
      <w:r w:rsidRPr="00DA46DB">
        <w:rPr>
          <w:bCs/>
          <w:color w:val="7F7F7F" w:themeColor="text1" w:themeTint="80"/>
          <w:sz w:val="20"/>
          <w:szCs w:val="20"/>
        </w:rPr>
        <w:t>Em relação ao Japão, o FMI estimou um crescimento de 0,5% em 2016 e de 0,6% em 2017.</w:t>
      </w:r>
    </w:p>
    <w:p w:rsidR="00B50219" w:rsidRPr="00DA46DB" w:rsidRDefault="00B50219" w:rsidP="00B50219">
      <w:pPr>
        <w:spacing w:before="120"/>
        <w:jc w:val="both"/>
        <w:rPr>
          <w:bCs/>
          <w:color w:val="7F7F7F" w:themeColor="text1" w:themeTint="80"/>
          <w:sz w:val="20"/>
          <w:szCs w:val="20"/>
        </w:rPr>
      </w:pPr>
      <w:r w:rsidRPr="00DA46DB">
        <w:rPr>
          <w:bCs/>
          <w:color w:val="7F7F7F" w:themeColor="text1" w:themeTint="80"/>
          <w:sz w:val="20"/>
          <w:szCs w:val="20"/>
        </w:rPr>
        <w:t>A dúvida ainda repousa no sucesso do programa de estímulos monetários e na eficácia dos juros negativos. Para a Índia o FMI estimou um crescimento de 7,6% em 2016 e 2017.</w:t>
      </w:r>
    </w:p>
    <w:p w:rsidR="00B50219" w:rsidRPr="00DA46DB" w:rsidRDefault="00B50219" w:rsidP="00B50219">
      <w:pPr>
        <w:spacing w:before="120"/>
        <w:jc w:val="both"/>
        <w:rPr>
          <w:bCs/>
          <w:color w:val="7F7F7F" w:themeColor="text1" w:themeTint="80"/>
          <w:sz w:val="20"/>
          <w:szCs w:val="20"/>
        </w:rPr>
      </w:pPr>
    </w:p>
    <w:p w:rsidR="00B50219" w:rsidRPr="00C7281C" w:rsidRDefault="00B50219" w:rsidP="00B50219">
      <w:pPr>
        <w:spacing w:before="120"/>
        <w:jc w:val="both"/>
        <w:rPr>
          <w:b/>
          <w:bCs/>
          <w:color w:val="ED7D31"/>
          <w:sz w:val="20"/>
          <w:szCs w:val="20"/>
        </w:rPr>
      </w:pPr>
      <w:r w:rsidRPr="00C7281C">
        <w:rPr>
          <w:b/>
          <w:bCs/>
          <w:color w:val="ED7D31"/>
          <w:sz w:val="20"/>
          <w:szCs w:val="20"/>
        </w:rPr>
        <w:t>RENDA FIXA</w:t>
      </w:r>
    </w:p>
    <w:p w:rsidR="00B50219" w:rsidRPr="00DA46DB" w:rsidRDefault="00B50219" w:rsidP="00B50219">
      <w:pPr>
        <w:spacing w:before="120"/>
        <w:jc w:val="both"/>
        <w:rPr>
          <w:bCs/>
          <w:color w:val="7F7F7F" w:themeColor="text1" w:themeTint="80"/>
          <w:sz w:val="20"/>
          <w:szCs w:val="20"/>
        </w:rPr>
      </w:pPr>
      <w:r w:rsidRPr="00DA46DB">
        <w:rPr>
          <w:bCs/>
          <w:color w:val="7F7F7F" w:themeColor="text1" w:themeTint="80"/>
          <w:sz w:val="20"/>
          <w:szCs w:val="20"/>
        </w:rPr>
        <w:t xml:space="preserve">Para a agência </w:t>
      </w:r>
      <w:proofErr w:type="spellStart"/>
      <w:r w:rsidRPr="00DA46DB">
        <w:rPr>
          <w:bCs/>
          <w:color w:val="7F7F7F" w:themeColor="text1" w:themeTint="80"/>
          <w:sz w:val="20"/>
          <w:szCs w:val="20"/>
        </w:rPr>
        <w:t>Bloomberg</w:t>
      </w:r>
      <w:proofErr w:type="spellEnd"/>
      <w:r w:rsidRPr="00DA46DB">
        <w:rPr>
          <w:bCs/>
          <w:color w:val="7F7F7F" w:themeColor="text1" w:themeTint="80"/>
          <w:sz w:val="20"/>
          <w:szCs w:val="20"/>
        </w:rPr>
        <w:t>, os juros baixos impulsionam artificialmente os preços dos ativos financeiros e distorcem padrões normais de tomada de riscos nos mercados financeiros. Para a OCDE, as distorções geradas no sistema financeiro pelo prolongamento de um nível excepcionalmente baixo das taxas de juros podem acarretar riscos de bolhas especulativas, que não estariam sendo aproveitadas o suficiente para reaquecer a economia mundial. Por outro lado, com as baixas taxas, a evolução dos preços das ações de bancos, por exemplo, está sendo muito pior do que a de outros setores e a deterioração da rentabilidade dos fundos de previdência é visível.</w:t>
      </w:r>
    </w:p>
    <w:p w:rsidR="00B50219" w:rsidRPr="00DA46DB" w:rsidRDefault="00B50219" w:rsidP="00B50219">
      <w:pPr>
        <w:spacing w:before="120"/>
        <w:jc w:val="both"/>
        <w:rPr>
          <w:bCs/>
          <w:color w:val="7F7F7F" w:themeColor="text1" w:themeTint="80"/>
          <w:sz w:val="20"/>
          <w:szCs w:val="20"/>
        </w:rPr>
      </w:pPr>
      <w:r w:rsidRPr="00DA46DB">
        <w:rPr>
          <w:bCs/>
          <w:color w:val="7F7F7F" w:themeColor="text1" w:themeTint="80"/>
          <w:sz w:val="20"/>
          <w:szCs w:val="20"/>
        </w:rPr>
        <w:lastRenderedPageBreak/>
        <w:t>Com a perspectiva que as baixas taxas de juros prevaleçam no mercado internacional, em 2017, o Banco Morgan Stanley acredita ser esse um bom momento para a compra de títulos da dívida de países emergentes como Brasil, China e Índia, que têm taxas de juros significativas.</w:t>
      </w:r>
    </w:p>
    <w:p w:rsidR="00B50219" w:rsidRPr="00DA46DB" w:rsidRDefault="00B50219" w:rsidP="00B50219">
      <w:pPr>
        <w:spacing w:before="120"/>
        <w:jc w:val="both"/>
        <w:rPr>
          <w:bCs/>
          <w:color w:val="7F7F7F" w:themeColor="text1" w:themeTint="80"/>
          <w:sz w:val="20"/>
          <w:szCs w:val="20"/>
        </w:rPr>
      </w:pPr>
      <w:r w:rsidRPr="00DA46DB">
        <w:rPr>
          <w:bCs/>
          <w:color w:val="7F7F7F" w:themeColor="text1" w:themeTint="80"/>
          <w:sz w:val="20"/>
          <w:szCs w:val="20"/>
        </w:rPr>
        <w:t>Os títulos corporativos americanos continuarão a atrair os investidores, bem como os títulos emitidos pelo governo dos EUA, por serem emitidos em dólar, que deverá se valorizar com o aumento dos juros e por serem o maior porto seguro dos investidores.</w:t>
      </w:r>
    </w:p>
    <w:p w:rsidR="00B50219" w:rsidRPr="00DA46DB" w:rsidRDefault="00B50219" w:rsidP="00B50219">
      <w:pPr>
        <w:spacing w:before="120"/>
        <w:jc w:val="both"/>
        <w:rPr>
          <w:bCs/>
          <w:color w:val="7F7F7F" w:themeColor="text1" w:themeTint="80"/>
          <w:sz w:val="20"/>
          <w:szCs w:val="20"/>
        </w:rPr>
      </w:pPr>
    </w:p>
    <w:p w:rsidR="00B50219" w:rsidRPr="00C7281C" w:rsidRDefault="00B50219" w:rsidP="00B50219">
      <w:pPr>
        <w:spacing w:before="120"/>
        <w:jc w:val="both"/>
        <w:rPr>
          <w:b/>
          <w:bCs/>
          <w:color w:val="ED7D31"/>
          <w:sz w:val="20"/>
          <w:szCs w:val="20"/>
        </w:rPr>
      </w:pPr>
      <w:r w:rsidRPr="00C7281C">
        <w:rPr>
          <w:b/>
          <w:bCs/>
          <w:color w:val="ED7D31"/>
          <w:sz w:val="20"/>
          <w:szCs w:val="20"/>
        </w:rPr>
        <w:t>RENDA VARIÁVEL</w:t>
      </w:r>
    </w:p>
    <w:p w:rsidR="00B50219" w:rsidRPr="00DA46DB" w:rsidRDefault="00B50219" w:rsidP="00B50219">
      <w:pPr>
        <w:spacing w:before="120"/>
        <w:jc w:val="both"/>
        <w:rPr>
          <w:bCs/>
          <w:color w:val="7F7F7F" w:themeColor="text1" w:themeTint="80"/>
          <w:sz w:val="20"/>
          <w:szCs w:val="20"/>
        </w:rPr>
      </w:pPr>
      <w:r w:rsidRPr="00DA46DB">
        <w:rPr>
          <w:bCs/>
          <w:color w:val="7F7F7F" w:themeColor="text1" w:themeTint="80"/>
          <w:sz w:val="20"/>
          <w:szCs w:val="20"/>
        </w:rPr>
        <w:t>Para o mercado acionário americano, os economistas estão divididos em relação ao futuro. Alguns acreditam que o índice S&amp;P 500, que anda ao redor de 2.100 pontos pode alcançar 2.300 pontos. As ações estariam com preço atraente em relação aos títulos de renda fixa, a preocupação com liquidez é cada vez maior e a expectativa é de que os lucros das empresas subam. Outros acreditam que o mercado já atingiu seu ápice e novas máximas dependerão da política monetária americana e da atividade econômica global.</w:t>
      </w:r>
    </w:p>
    <w:p w:rsidR="00B50219" w:rsidRDefault="00B50219" w:rsidP="00B50219">
      <w:pPr>
        <w:spacing w:before="120"/>
        <w:jc w:val="both"/>
        <w:rPr>
          <w:bCs/>
          <w:color w:val="7F7F7F" w:themeColor="text1" w:themeTint="80"/>
          <w:sz w:val="20"/>
          <w:szCs w:val="20"/>
        </w:rPr>
      </w:pPr>
      <w:r w:rsidRPr="00DA46DB">
        <w:rPr>
          <w:bCs/>
          <w:color w:val="7F7F7F" w:themeColor="text1" w:themeTint="80"/>
          <w:sz w:val="20"/>
          <w:szCs w:val="20"/>
        </w:rPr>
        <w:t>Para as bolsas europeias o cenário pode ser adverso, com o fim dos estímulos mensais do BCE e para as bolsas emergentes favorável com alguma recuperação dos preços das commodities e com a maior participação do investidor internacional, em busca de maiores retornos.</w:t>
      </w:r>
    </w:p>
    <w:p w:rsidR="00B50219" w:rsidRPr="00DA46DB" w:rsidRDefault="00B50219" w:rsidP="00B50219">
      <w:pPr>
        <w:spacing w:before="120"/>
        <w:jc w:val="both"/>
        <w:rPr>
          <w:bCs/>
          <w:color w:val="7F7F7F" w:themeColor="text1" w:themeTint="80"/>
          <w:sz w:val="20"/>
          <w:szCs w:val="20"/>
        </w:rPr>
      </w:pPr>
    </w:p>
    <w:p w:rsidR="00B50219" w:rsidRPr="00C7281C" w:rsidRDefault="00B50219" w:rsidP="00B50219">
      <w:pPr>
        <w:pStyle w:val="Ttulo2"/>
        <w:numPr>
          <w:ilvl w:val="1"/>
          <w:numId w:val="15"/>
        </w:numPr>
        <w:spacing w:before="120" w:after="0" w:line="240" w:lineRule="auto"/>
        <w:ind w:left="0" w:firstLine="0"/>
        <w:jc w:val="both"/>
        <w:rPr>
          <w:szCs w:val="20"/>
        </w:rPr>
      </w:pPr>
      <w:bookmarkStart w:id="8" w:name="_Toc465935131"/>
      <w:r w:rsidRPr="00C7281C">
        <w:rPr>
          <w:szCs w:val="20"/>
        </w:rPr>
        <w:t>NACIONAL – PERSPECTIVAS</w:t>
      </w:r>
      <w:bookmarkEnd w:id="8"/>
    </w:p>
    <w:p w:rsidR="00B50219" w:rsidRPr="00DA46DB" w:rsidRDefault="00B50219" w:rsidP="00B50219">
      <w:pPr>
        <w:spacing w:before="120"/>
        <w:jc w:val="both"/>
        <w:rPr>
          <w:bCs/>
          <w:color w:val="7F7F7F" w:themeColor="text1" w:themeTint="80"/>
          <w:sz w:val="20"/>
          <w:szCs w:val="20"/>
        </w:rPr>
      </w:pPr>
      <w:r w:rsidRPr="00DA46DB">
        <w:rPr>
          <w:bCs/>
          <w:color w:val="7F7F7F" w:themeColor="text1" w:themeTint="80"/>
          <w:sz w:val="20"/>
          <w:szCs w:val="20"/>
        </w:rPr>
        <w:t>Para o FMI, o PIB do Brasil irá cair 3,3% em 2016 e terá uma melhora em 2017, quando está prevista uma alta de 0,5%. Para o Banco Central, conforme o Relatório de Inflação, publicado em setembro, a queda do PIB este ano será de 3,3% e a alta no próximo ano será de 1,3%. Para o os economistas que militam no mercado financeiro, conforme revela o último Relatório Focus do Banco Central, de 07 de outubro último, a atividade econômica no país terá uma retração de 3,15% em 2016 e um crescimento de 1,30% em 2017. Já o Ministério da Fazenda, estimou um crescimento de 1,6% no ano que vem, conforme a proposta do orçamento federal para 2017.</w:t>
      </w:r>
    </w:p>
    <w:p w:rsidR="00B50219" w:rsidRPr="00DA46DB" w:rsidRDefault="00B50219" w:rsidP="00B50219">
      <w:pPr>
        <w:spacing w:before="120"/>
        <w:jc w:val="both"/>
        <w:rPr>
          <w:bCs/>
          <w:color w:val="7F7F7F" w:themeColor="text1" w:themeTint="80"/>
          <w:sz w:val="20"/>
          <w:szCs w:val="20"/>
        </w:rPr>
      </w:pPr>
      <w:r w:rsidRPr="00DA46DB">
        <w:rPr>
          <w:bCs/>
          <w:color w:val="7F7F7F" w:themeColor="text1" w:themeTint="80"/>
          <w:sz w:val="20"/>
          <w:szCs w:val="20"/>
        </w:rPr>
        <w:t>Embora os especialistas no mercado de trabalho estimem que a taxa de desemprego só comece a recuar a partir do segundo semestre do próximo ano e volte ao nível anterior à crise somente após 2018, há otimismo em relação à retomada do crescimento econômico. Com a recuperação da confiança empresarial local e dos investidores externos, os investimentos poderão ser os protagonistas da evolução do PIB, já que o consumo das famílias deverá ter uma recuperação mais lenta.</w:t>
      </w:r>
    </w:p>
    <w:p w:rsidR="00B50219" w:rsidRPr="00DA46DB" w:rsidRDefault="00B50219" w:rsidP="00B50219">
      <w:pPr>
        <w:spacing w:before="120"/>
        <w:jc w:val="both"/>
        <w:rPr>
          <w:bCs/>
          <w:color w:val="7F7F7F" w:themeColor="text1" w:themeTint="80"/>
          <w:sz w:val="20"/>
          <w:szCs w:val="20"/>
        </w:rPr>
      </w:pPr>
      <w:r w:rsidRPr="00DA46DB">
        <w:rPr>
          <w:bCs/>
          <w:color w:val="7F7F7F" w:themeColor="text1" w:themeTint="80"/>
          <w:sz w:val="20"/>
          <w:szCs w:val="20"/>
        </w:rPr>
        <w:t>Instituições financeiras internacionais de renome acreditam que com a superação da crise política, com o ajuste fiscal e com a queda da inflação e dos juros, o Brasil poderá entrar em novo ciclo virtuoso.</w:t>
      </w:r>
    </w:p>
    <w:p w:rsidR="00B50219" w:rsidRPr="00DA46DB" w:rsidRDefault="00B50219" w:rsidP="00B50219">
      <w:pPr>
        <w:spacing w:before="120"/>
        <w:jc w:val="both"/>
        <w:rPr>
          <w:bCs/>
          <w:color w:val="7F7F7F" w:themeColor="text1" w:themeTint="80"/>
          <w:sz w:val="20"/>
          <w:szCs w:val="20"/>
        </w:rPr>
      </w:pPr>
      <w:r w:rsidRPr="00DA46DB">
        <w:rPr>
          <w:bCs/>
          <w:color w:val="7F7F7F" w:themeColor="text1" w:themeTint="80"/>
          <w:sz w:val="20"/>
          <w:szCs w:val="20"/>
        </w:rPr>
        <w:t>Para o FMI, com o crescimento previsto para 2017 e com a freada da alta do dólar, o Brasil poderá voltar a ser a oitava maior economia do mundo já no próximo ano.</w:t>
      </w:r>
    </w:p>
    <w:p w:rsidR="00B50219" w:rsidRPr="00DA46DB" w:rsidRDefault="00B50219" w:rsidP="00B50219">
      <w:pPr>
        <w:spacing w:before="120"/>
        <w:jc w:val="both"/>
        <w:rPr>
          <w:bCs/>
          <w:color w:val="7F7F7F" w:themeColor="text1" w:themeTint="80"/>
          <w:sz w:val="20"/>
          <w:szCs w:val="20"/>
        </w:rPr>
      </w:pPr>
      <w:r w:rsidRPr="00DA46DB">
        <w:rPr>
          <w:bCs/>
          <w:color w:val="7F7F7F" w:themeColor="text1" w:themeTint="80"/>
          <w:sz w:val="20"/>
          <w:szCs w:val="20"/>
        </w:rPr>
        <w:t>Segundo o ministro Henrique Meirelles, com os sinais de reação já esboçados pela economia, com a melhora dos índices de confiança e com o avanço do ajuste fiscal, a retomada de um bom ritmo de crescimento pode ser mais rápida, mesmo com a possibilidade do aumento dos juros nos EUA. Há também que se levar em consideração, o fato de que a queda acumulada do PIB nos últimos anos foi tão intensa que a base baixa para a recuperação do crescimento econômico é um fator favorável adicional.</w:t>
      </w:r>
    </w:p>
    <w:p w:rsidR="00B50219" w:rsidRPr="00DA46DB" w:rsidRDefault="00B50219" w:rsidP="00B50219">
      <w:pPr>
        <w:spacing w:before="120"/>
        <w:jc w:val="both"/>
        <w:rPr>
          <w:bCs/>
          <w:color w:val="7F7F7F" w:themeColor="text1" w:themeTint="80"/>
          <w:sz w:val="20"/>
          <w:szCs w:val="20"/>
        </w:rPr>
      </w:pPr>
      <w:r w:rsidRPr="00DA46DB">
        <w:rPr>
          <w:bCs/>
          <w:color w:val="7F7F7F" w:themeColor="text1" w:themeTint="80"/>
          <w:sz w:val="20"/>
          <w:szCs w:val="20"/>
        </w:rPr>
        <w:t>Analistas de mercado especializados em contas públicas estimam que o déficit público primário em 2016 será da ordem de R$ 159 bilhões, portanto abaixo da meta de R$ 170,5 bilhões aprovada pelo Congresso Nacional. Já para 2017, a expectativa é de um déficit de R$ 145,3 bilhões, portanto acima da meta de R$ 139 bilhões, fixada pelo governo. Já a dívida bruta deverá equivaler a 78,2% do PIB, sendo que hoje é cerca de 70%.</w:t>
      </w:r>
    </w:p>
    <w:p w:rsidR="00B50219" w:rsidRPr="00DA46DB" w:rsidRDefault="00B50219" w:rsidP="00B50219">
      <w:pPr>
        <w:spacing w:before="120"/>
        <w:jc w:val="both"/>
        <w:rPr>
          <w:bCs/>
          <w:color w:val="7F7F7F" w:themeColor="text1" w:themeTint="80"/>
          <w:sz w:val="20"/>
          <w:szCs w:val="20"/>
        </w:rPr>
      </w:pPr>
      <w:r w:rsidRPr="00DA46DB">
        <w:rPr>
          <w:bCs/>
          <w:color w:val="7F7F7F" w:themeColor="text1" w:themeTint="80"/>
          <w:sz w:val="20"/>
          <w:szCs w:val="20"/>
        </w:rPr>
        <w:t xml:space="preserve">Em recente visita à agência </w:t>
      </w:r>
      <w:proofErr w:type="spellStart"/>
      <w:r w:rsidRPr="00DA46DB">
        <w:rPr>
          <w:bCs/>
          <w:color w:val="7F7F7F" w:themeColor="text1" w:themeTint="80"/>
          <w:sz w:val="20"/>
          <w:szCs w:val="20"/>
        </w:rPr>
        <w:t>Bloomberg</w:t>
      </w:r>
      <w:proofErr w:type="spellEnd"/>
      <w:r w:rsidRPr="00DA46DB">
        <w:rPr>
          <w:bCs/>
          <w:color w:val="7F7F7F" w:themeColor="text1" w:themeTint="80"/>
          <w:sz w:val="20"/>
          <w:szCs w:val="20"/>
        </w:rPr>
        <w:t xml:space="preserve">, em Nova Iorque, o presidente Temer declarou que o déficit fiscal demorará ainda mais dois ou três anos para ser eliminado, mesmo com a aprovação do teto para o crescimento </w:t>
      </w:r>
      <w:r w:rsidRPr="00DA46DB">
        <w:rPr>
          <w:bCs/>
          <w:color w:val="7F7F7F" w:themeColor="text1" w:themeTint="80"/>
          <w:sz w:val="20"/>
          <w:szCs w:val="20"/>
        </w:rPr>
        <w:lastRenderedPageBreak/>
        <w:t>dos gastos públicos, durante os próximos 20 anos. O texto-base já foi aprovado pela Câmara em primeiro turno, restando ser aprovado em segundo turno para depois ser enviado ao Senado, onde também terá que ser aprovado em dois turnos.</w:t>
      </w:r>
    </w:p>
    <w:p w:rsidR="00B50219" w:rsidRPr="00DA46DB" w:rsidRDefault="00B50219" w:rsidP="00B50219">
      <w:pPr>
        <w:spacing w:before="120"/>
        <w:jc w:val="both"/>
        <w:rPr>
          <w:bCs/>
          <w:color w:val="7F7F7F" w:themeColor="text1" w:themeTint="80"/>
          <w:sz w:val="20"/>
          <w:szCs w:val="20"/>
        </w:rPr>
      </w:pPr>
      <w:r w:rsidRPr="00DA46DB">
        <w:rPr>
          <w:bCs/>
          <w:color w:val="7F7F7F" w:themeColor="text1" w:themeTint="80"/>
          <w:sz w:val="20"/>
          <w:szCs w:val="20"/>
        </w:rPr>
        <w:t>Segundo Mansueto de Almeida, secretário de Acompanhamento Econômico do Ministério da Fazenda, a PEC 241, que estabelece o teto é a melhor forma de ajuste fiscal porque é gradual. Não leva a grandes cortes de despesas necessárias e nem ao corte de aposentadorias, como foi feito em vários países da Europa.</w:t>
      </w:r>
    </w:p>
    <w:p w:rsidR="00B50219" w:rsidRPr="00DA46DB" w:rsidRDefault="00B50219" w:rsidP="00B50219">
      <w:pPr>
        <w:spacing w:before="120"/>
        <w:jc w:val="both"/>
        <w:rPr>
          <w:bCs/>
          <w:color w:val="7F7F7F" w:themeColor="text1" w:themeTint="80"/>
          <w:sz w:val="20"/>
          <w:szCs w:val="20"/>
        </w:rPr>
      </w:pPr>
      <w:r w:rsidRPr="00DA46DB">
        <w:rPr>
          <w:bCs/>
          <w:color w:val="7F7F7F" w:themeColor="text1" w:themeTint="80"/>
          <w:sz w:val="20"/>
          <w:szCs w:val="20"/>
        </w:rPr>
        <w:t>Em relação ao crescente déficit da Previdência Social, as reformas propostas pelo governo só serão encaminhadas ao Legislativo em 2017. A princípio, uma das ideias é unificar a Previdência pública e privada.</w:t>
      </w:r>
    </w:p>
    <w:p w:rsidR="00B50219" w:rsidRPr="00DA46DB" w:rsidRDefault="00B50219" w:rsidP="00B50219">
      <w:pPr>
        <w:spacing w:before="120"/>
        <w:jc w:val="both"/>
        <w:rPr>
          <w:bCs/>
          <w:color w:val="7F7F7F" w:themeColor="text1" w:themeTint="80"/>
          <w:sz w:val="20"/>
          <w:szCs w:val="20"/>
        </w:rPr>
      </w:pPr>
      <w:r w:rsidRPr="00DA46DB">
        <w:rPr>
          <w:bCs/>
          <w:color w:val="7F7F7F" w:themeColor="text1" w:themeTint="80"/>
          <w:sz w:val="20"/>
          <w:szCs w:val="20"/>
        </w:rPr>
        <w:t>Dentro das possibilidades de aumento de arrecadação ventiladas pelo governo, está um programa de privatizações, que tem a vantagem de não passar pelo Congresso e nem pelo sistema político e que não precisa de aprovação popular. O governo tem autonomia para efetivá-lo. Também as concessões de serviços públicos integram o rol de possibilidades.</w:t>
      </w:r>
    </w:p>
    <w:p w:rsidR="00B50219" w:rsidRPr="00DA46DB" w:rsidRDefault="00B50219" w:rsidP="00B50219">
      <w:pPr>
        <w:spacing w:before="120"/>
        <w:jc w:val="both"/>
        <w:rPr>
          <w:bCs/>
          <w:color w:val="7F7F7F" w:themeColor="text1" w:themeTint="80"/>
          <w:sz w:val="20"/>
          <w:szCs w:val="20"/>
        </w:rPr>
      </w:pPr>
      <w:r w:rsidRPr="00DA46DB">
        <w:rPr>
          <w:bCs/>
          <w:color w:val="7F7F7F" w:themeColor="text1" w:themeTint="80"/>
          <w:sz w:val="20"/>
          <w:szCs w:val="20"/>
        </w:rPr>
        <w:t>O fato é que, como está esgotada a capacidade de endividamento do Tesouro Nacional, o chamado ajuste fiscal é indispensável para que o país retome o ciclo virtuoso que propicia o crescimento econômico, com uma política de juros baixos e inflação controlada.</w:t>
      </w:r>
    </w:p>
    <w:p w:rsidR="00B50219" w:rsidRPr="00DA46DB" w:rsidRDefault="00B50219" w:rsidP="00B50219">
      <w:pPr>
        <w:spacing w:before="120"/>
        <w:jc w:val="both"/>
        <w:rPr>
          <w:bCs/>
          <w:color w:val="7F7F7F" w:themeColor="text1" w:themeTint="80"/>
          <w:sz w:val="20"/>
          <w:szCs w:val="20"/>
        </w:rPr>
      </w:pPr>
      <w:r w:rsidRPr="00DA46DB">
        <w:rPr>
          <w:bCs/>
          <w:color w:val="7F7F7F" w:themeColor="text1" w:themeTint="80"/>
          <w:sz w:val="20"/>
          <w:szCs w:val="20"/>
        </w:rPr>
        <w:t>Conforme o último Relatório Focus, o mercado financeiro estima que a inflação de 2016, medida através do IPCA, será de 7,04% e cairá para 5,06% em 2017. Para o Banco Central, através do último Relatório Trimestral de Inflação, ela será de 4,4% em 2017, portanto abaixo do centro da meta de 4,5% e caíra para 3,8% em 2018.</w:t>
      </w:r>
    </w:p>
    <w:p w:rsidR="00B50219" w:rsidRPr="00DA46DB" w:rsidRDefault="00B50219" w:rsidP="00B50219">
      <w:pPr>
        <w:spacing w:before="120"/>
        <w:jc w:val="both"/>
        <w:rPr>
          <w:bCs/>
          <w:color w:val="7F7F7F" w:themeColor="text1" w:themeTint="80"/>
          <w:sz w:val="20"/>
          <w:szCs w:val="20"/>
        </w:rPr>
      </w:pPr>
      <w:r w:rsidRPr="00DA46DB">
        <w:rPr>
          <w:bCs/>
          <w:color w:val="7F7F7F" w:themeColor="text1" w:themeTint="80"/>
          <w:sz w:val="20"/>
          <w:szCs w:val="20"/>
        </w:rPr>
        <w:t>Embora a indexação de preços ainda esteja viva na economia brasileira e possa tornar a queda da inflação mais lenta, uma série de reajustes salariais foi feita sem a plena reposição da inflação passada e os preços administrados, por seu turno, devem exercer pressões bem menores sobre os demais preços da economia.</w:t>
      </w:r>
    </w:p>
    <w:p w:rsidR="00B50219" w:rsidRPr="00DA46DB" w:rsidRDefault="00B50219" w:rsidP="00B50219">
      <w:pPr>
        <w:spacing w:before="120"/>
        <w:jc w:val="both"/>
        <w:rPr>
          <w:bCs/>
          <w:color w:val="7F7F7F" w:themeColor="text1" w:themeTint="80"/>
          <w:sz w:val="20"/>
          <w:szCs w:val="20"/>
        </w:rPr>
      </w:pPr>
      <w:r w:rsidRPr="00DA46DB">
        <w:rPr>
          <w:bCs/>
          <w:color w:val="7F7F7F" w:themeColor="text1" w:themeTint="80"/>
          <w:sz w:val="20"/>
          <w:szCs w:val="20"/>
        </w:rPr>
        <w:t>Depois do IPCA de setembro ter registrado uma alta de apenas 0,08%, o presidente do BC, Ilan Goldfajn alertou que é preciso serenidade, na medida em que a desinflação não pode se restringir a apenas um mês, mas tem que se firmar ao longo do tempo.</w:t>
      </w:r>
    </w:p>
    <w:p w:rsidR="00B50219" w:rsidRPr="00DA46DB" w:rsidRDefault="00B50219" w:rsidP="00B50219">
      <w:pPr>
        <w:spacing w:before="120"/>
        <w:jc w:val="both"/>
        <w:rPr>
          <w:bCs/>
          <w:color w:val="7F7F7F" w:themeColor="text1" w:themeTint="80"/>
          <w:sz w:val="20"/>
          <w:szCs w:val="20"/>
        </w:rPr>
      </w:pPr>
      <w:r w:rsidRPr="00DA46DB">
        <w:rPr>
          <w:bCs/>
          <w:color w:val="7F7F7F" w:themeColor="text1" w:themeTint="80"/>
          <w:sz w:val="20"/>
          <w:szCs w:val="20"/>
        </w:rPr>
        <w:t>Embora as pressões dos preços dos alimentos possam prosseguir, até por conta de uma menor safra de grãos neste ano, com a confiança em alta é benigno o cenário para a inflação.</w:t>
      </w:r>
    </w:p>
    <w:p w:rsidR="00B50219" w:rsidRPr="00DA46DB" w:rsidRDefault="00B50219" w:rsidP="00B50219">
      <w:pPr>
        <w:spacing w:before="120"/>
        <w:jc w:val="both"/>
        <w:rPr>
          <w:bCs/>
          <w:color w:val="7F7F7F" w:themeColor="text1" w:themeTint="80"/>
          <w:sz w:val="20"/>
          <w:szCs w:val="20"/>
        </w:rPr>
      </w:pPr>
      <w:r w:rsidRPr="00DA46DB">
        <w:rPr>
          <w:bCs/>
          <w:color w:val="7F7F7F" w:themeColor="text1" w:themeTint="80"/>
          <w:sz w:val="20"/>
          <w:szCs w:val="20"/>
        </w:rPr>
        <w:t xml:space="preserve">Para o mercado financeiro, este ano irá terminar com a taxa Selic em 13,75% a.a. e cairá para 11% a.a. no final de 2017. Sob a chefia de Ilan Goldfajn, o Banco Central vem conduzindo a política monetária com extrema prudência. Em sua avaliação a queda dos juros depende basicamente do ajuste fiscal e da inflação dos alimentos. Mas o seu objetivo é de que a inflação atinja o centro da meta, o que permitiria, com a disciplina fiscal, uma queda duradoura das taxas de juros, que propicie a redução dos custos financeiros para as famílias e empresas, além da valorização dos ativos em geral. </w:t>
      </w:r>
    </w:p>
    <w:p w:rsidR="00B50219" w:rsidRPr="00DA46DB" w:rsidRDefault="00B50219" w:rsidP="00B50219">
      <w:pPr>
        <w:spacing w:before="120"/>
        <w:jc w:val="both"/>
        <w:rPr>
          <w:bCs/>
          <w:color w:val="7F7F7F" w:themeColor="text1" w:themeTint="80"/>
          <w:sz w:val="20"/>
          <w:szCs w:val="20"/>
        </w:rPr>
      </w:pPr>
      <w:r w:rsidRPr="00DA46DB">
        <w:rPr>
          <w:bCs/>
          <w:color w:val="7F7F7F" w:themeColor="text1" w:themeTint="80"/>
          <w:sz w:val="20"/>
          <w:szCs w:val="20"/>
        </w:rPr>
        <w:t>Para o mercado financeiro, está próximo o momento do início da queda da taxa Selic.</w:t>
      </w:r>
    </w:p>
    <w:p w:rsidR="00B50219" w:rsidRPr="00DA46DB" w:rsidRDefault="00B50219" w:rsidP="00B50219">
      <w:pPr>
        <w:spacing w:before="120"/>
        <w:jc w:val="both"/>
        <w:rPr>
          <w:bCs/>
          <w:color w:val="7F7F7F" w:themeColor="text1" w:themeTint="80"/>
          <w:sz w:val="20"/>
          <w:szCs w:val="20"/>
        </w:rPr>
      </w:pPr>
      <w:r w:rsidRPr="00DA46DB">
        <w:rPr>
          <w:bCs/>
          <w:color w:val="7F7F7F" w:themeColor="text1" w:themeTint="80"/>
          <w:sz w:val="20"/>
          <w:szCs w:val="20"/>
        </w:rPr>
        <w:t>O último Relatório Focus revelou que o mercado financeiro espera que o dólar esteja cotado a R$ 3,25 no final de 2016 e a R$ 3,40 no final de 2017. Neste ano, o real foi uma das moedas que mais se valorizou no mundo. Se por um lado o dólar mais desvalorizado colabora com a inflação, ao baratear os produtos importados, por outro pode também representar uma ameaça para as contas externas, foco das poucas boas notícias econômicas, neste ano.</w:t>
      </w:r>
    </w:p>
    <w:p w:rsidR="00B50219" w:rsidRPr="00DA46DB" w:rsidRDefault="00B50219" w:rsidP="00B50219">
      <w:pPr>
        <w:spacing w:before="120"/>
        <w:jc w:val="both"/>
        <w:rPr>
          <w:bCs/>
          <w:color w:val="7F7F7F" w:themeColor="text1" w:themeTint="80"/>
          <w:sz w:val="20"/>
          <w:szCs w:val="20"/>
        </w:rPr>
      </w:pPr>
      <w:r w:rsidRPr="00DA46DB">
        <w:rPr>
          <w:bCs/>
          <w:color w:val="7F7F7F" w:themeColor="text1" w:themeTint="80"/>
          <w:sz w:val="20"/>
          <w:szCs w:val="20"/>
        </w:rPr>
        <w:t>Com a economia brasileira voltando a andar nos trilhos, é grande a possibilidade de fortes ingressos de capital estrangeiro no próximo ano, já que diversos analistas internacionais expressaram otimismo com o país. Esses ingressos podem ainda ser intensificados, com a melhoria dos ratings do país, a partir do ajuste fiscal.</w:t>
      </w:r>
    </w:p>
    <w:p w:rsidR="00B50219" w:rsidRPr="00DA46DB" w:rsidRDefault="00B50219" w:rsidP="00B50219">
      <w:pPr>
        <w:spacing w:before="120"/>
        <w:jc w:val="both"/>
        <w:rPr>
          <w:bCs/>
          <w:color w:val="7F7F7F" w:themeColor="text1" w:themeTint="80"/>
          <w:sz w:val="20"/>
          <w:szCs w:val="20"/>
        </w:rPr>
      </w:pPr>
      <w:r w:rsidRPr="00DA46DB">
        <w:rPr>
          <w:bCs/>
          <w:color w:val="7F7F7F" w:themeColor="text1" w:themeTint="80"/>
          <w:sz w:val="20"/>
          <w:szCs w:val="20"/>
        </w:rPr>
        <w:t>Para conter a excessiva queda do dólar e evitar os erros cometidos no passado recente, que tanto prejudicaram nossas exportações e o setor industrial, o Banco Central conta com ferramentas como o corte dos juros, a compra de dólares no mercado à vista e novos leilões de swap reverso.</w:t>
      </w:r>
    </w:p>
    <w:p w:rsidR="00B50219" w:rsidRPr="00DA46DB" w:rsidRDefault="00B50219" w:rsidP="00B50219">
      <w:pPr>
        <w:spacing w:before="120"/>
        <w:jc w:val="both"/>
        <w:rPr>
          <w:bCs/>
          <w:color w:val="7F7F7F" w:themeColor="text1" w:themeTint="80"/>
          <w:sz w:val="20"/>
          <w:szCs w:val="20"/>
        </w:rPr>
      </w:pPr>
      <w:r w:rsidRPr="00DA46DB">
        <w:rPr>
          <w:bCs/>
          <w:color w:val="7F7F7F" w:themeColor="text1" w:themeTint="80"/>
          <w:sz w:val="20"/>
          <w:szCs w:val="20"/>
        </w:rPr>
        <w:lastRenderedPageBreak/>
        <w:t>Para a Balança Comercial, o Relatório Focus estima um superávit de US$ 49,1 bilhões em 2016 e de US$ 45 bilhões para 2017.  Para o déficit em transações correntes, o mercado o estima em US$ 17,1 bilhões em 2016 e US$ 25 bilhões em 2017. E finalmente para o Investimento Estrangeiro Direto – IED, a estimativa é de um ingresso de US$ 65 bilhões em 2016 e 2017.</w:t>
      </w:r>
    </w:p>
    <w:p w:rsidR="00B50219" w:rsidRPr="00DA46DB" w:rsidRDefault="00B50219" w:rsidP="00B50219">
      <w:pPr>
        <w:spacing w:before="120"/>
        <w:jc w:val="both"/>
        <w:rPr>
          <w:bCs/>
          <w:color w:val="7F7F7F" w:themeColor="text1" w:themeTint="80"/>
          <w:sz w:val="20"/>
          <w:szCs w:val="20"/>
        </w:rPr>
      </w:pPr>
      <w:r w:rsidRPr="00DA46DB">
        <w:rPr>
          <w:bCs/>
          <w:color w:val="7F7F7F" w:themeColor="text1" w:themeTint="80"/>
          <w:sz w:val="20"/>
          <w:szCs w:val="20"/>
        </w:rPr>
        <w:t xml:space="preserve">Para a maior gestora de recursos do mundo, a </w:t>
      </w:r>
      <w:proofErr w:type="spellStart"/>
      <w:r w:rsidRPr="00DA46DB">
        <w:rPr>
          <w:bCs/>
          <w:color w:val="7F7F7F" w:themeColor="text1" w:themeTint="80"/>
          <w:sz w:val="20"/>
          <w:szCs w:val="20"/>
        </w:rPr>
        <w:t>BalckRock</w:t>
      </w:r>
      <w:proofErr w:type="spellEnd"/>
      <w:r w:rsidRPr="00DA46DB">
        <w:rPr>
          <w:bCs/>
          <w:color w:val="7F7F7F" w:themeColor="text1" w:themeTint="80"/>
          <w:sz w:val="20"/>
          <w:szCs w:val="20"/>
        </w:rPr>
        <w:t>, os juros pagos pelos papéis brasileiros, emitidos aqui e no exterior estão entre os mais atraentes do mundo. De fato, a diferença entre as taxas de juros praticadas no Brasil e a média praticada nos países desenvolvidos é a maior em dez anos. Esse é um dos fatores que estimulam a atração de capital internacional no curto prazo.</w:t>
      </w:r>
    </w:p>
    <w:p w:rsidR="00B50219" w:rsidRPr="00DA46DB" w:rsidRDefault="00B50219" w:rsidP="00B50219">
      <w:pPr>
        <w:spacing w:before="120"/>
        <w:jc w:val="both"/>
        <w:rPr>
          <w:bCs/>
          <w:color w:val="7F7F7F" w:themeColor="text1" w:themeTint="80"/>
          <w:sz w:val="20"/>
          <w:szCs w:val="20"/>
        </w:rPr>
      </w:pPr>
      <w:r w:rsidRPr="00DA46DB">
        <w:rPr>
          <w:bCs/>
          <w:color w:val="7F7F7F" w:themeColor="text1" w:themeTint="80"/>
          <w:sz w:val="20"/>
          <w:szCs w:val="20"/>
        </w:rPr>
        <w:t xml:space="preserve">Como dissemos anteriormente, com a aprovação do ajuste fiscal, com a queda da inflação e com a retomada da arrecadação do setor público a partir de um maior crescimento econômico, podemos estar diante de uma queda continuada da taxa Selic e dos juros de mercado, que possibilitarão altos rendimentos nas aplicações pré-fixadas, inclusive naquelas em que os </w:t>
      </w:r>
      <w:proofErr w:type="spellStart"/>
      <w:r w:rsidRPr="00DA46DB">
        <w:rPr>
          <w:bCs/>
          <w:color w:val="7F7F7F" w:themeColor="text1" w:themeTint="80"/>
          <w:sz w:val="20"/>
          <w:szCs w:val="20"/>
        </w:rPr>
        <w:t>IMA’s</w:t>
      </w:r>
      <w:proofErr w:type="spellEnd"/>
      <w:r w:rsidRPr="00DA46DB">
        <w:rPr>
          <w:bCs/>
          <w:color w:val="7F7F7F" w:themeColor="text1" w:themeTint="80"/>
          <w:sz w:val="20"/>
          <w:szCs w:val="20"/>
        </w:rPr>
        <w:t xml:space="preserve"> servem de referência. Também os títulos privados devem aumentar o seu espaço no mercado em 2017. </w:t>
      </w:r>
    </w:p>
    <w:p w:rsidR="00B50219" w:rsidRPr="00DA46DB" w:rsidRDefault="00B50219" w:rsidP="00B50219">
      <w:pPr>
        <w:spacing w:before="120"/>
        <w:jc w:val="both"/>
        <w:rPr>
          <w:bCs/>
          <w:color w:val="7F7F7F" w:themeColor="text1" w:themeTint="80"/>
          <w:sz w:val="20"/>
          <w:szCs w:val="20"/>
        </w:rPr>
      </w:pPr>
      <w:r w:rsidRPr="00DA46DB">
        <w:rPr>
          <w:bCs/>
          <w:color w:val="7F7F7F" w:themeColor="text1" w:themeTint="80"/>
          <w:sz w:val="20"/>
          <w:szCs w:val="20"/>
        </w:rPr>
        <w:t>Assim, a alocação sugerida para as aplicações financeiras dos RPPS, se encontra na tabela abaixo.</w:t>
      </w:r>
    </w:p>
    <w:p w:rsidR="00B50219" w:rsidRPr="00DA46DB" w:rsidRDefault="00B50219" w:rsidP="00B50219">
      <w:pPr>
        <w:spacing w:before="120"/>
        <w:jc w:val="both"/>
        <w:rPr>
          <w:bCs/>
          <w:color w:val="7F7F7F" w:themeColor="text1" w:themeTint="80"/>
          <w:sz w:val="20"/>
          <w:szCs w:val="20"/>
        </w:rPr>
      </w:pPr>
      <w:r w:rsidRPr="00DA46DB">
        <w:rPr>
          <w:bCs/>
          <w:color w:val="7F7F7F" w:themeColor="text1" w:themeTint="80"/>
          <w:sz w:val="20"/>
          <w:szCs w:val="20"/>
        </w:rPr>
        <w:t>A análise feita para a renda fixa também procede para a renda variável. Cabe acrescentar que o fluxo de recursos de investidores estrangeiros, que hoje representa quase a metade do volume transacionado na Bovespa, pode se intensificar ainda mais com o novo quadro político e econômico.</w:t>
      </w:r>
    </w:p>
    <w:p w:rsidR="00B50219" w:rsidRPr="00DA46DB" w:rsidRDefault="00B50219" w:rsidP="00B50219">
      <w:pPr>
        <w:spacing w:before="120"/>
        <w:jc w:val="both"/>
        <w:rPr>
          <w:bCs/>
          <w:color w:val="7F7F7F" w:themeColor="text1" w:themeTint="80"/>
          <w:sz w:val="20"/>
          <w:szCs w:val="20"/>
        </w:rPr>
      </w:pPr>
      <w:r w:rsidRPr="00DA46DB">
        <w:rPr>
          <w:bCs/>
          <w:color w:val="7F7F7F" w:themeColor="text1" w:themeTint="80"/>
          <w:sz w:val="20"/>
          <w:szCs w:val="20"/>
        </w:rPr>
        <w:t>Depois de dois anos o Índice Bovespa voltou a superar o patamar de 60 mil pontos e também com a perspectiva de alta para as commodities no próximo ano, pode evoluir ainda mais, não só por conta do ingresso de recursos, mas principalmente pelo crescimento do lucro das empresas.</w:t>
      </w:r>
    </w:p>
    <w:p w:rsidR="00B50219" w:rsidRPr="009F5533" w:rsidRDefault="00B50219" w:rsidP="00B50219">
      <w:pPr>
        <w:spacing w:before="120"/>
        <w:jc w:val="both"/>
        <w:rPr>
          <w:rFonts w:asciiTheme="majorHAnsi" w:hAnsiTheme="majorHAnsi"/>
          <w:bCs/>
          <w:color w:val="7F7F7F" w:themeColor="text1" w:themeTint="80"/>
          <w:sz w:val="20"/>
          <w:szCs w:val="20"/>
        </w:rPr>
      </w:pPr>
    </w:p>
    <w:p w:rsidR="00B50219" w:rsidRPr="001A464C" w:rsidRDefault="00B50219" w:rsidP="00B50219">
      <w:pPr>
        <w:jc w:val="both"/>
        <w:rPr>
          <w:rFonts w:asciiTheme="majorHAnsi" w:hAnsiTheme="majorHAnsi"/>
          <w:bCs/>
          <w:color w:val="7F7F7F" w:themeColor="text1" w:themeTint="80"/>
          <w:sz w:val="20"/>
          <w:szCs w:val="20"/>
        </w:rPr>
      </w:pPr>
    </w:p>
    <w:p w:rsidR="00B50219" w:rsidRPr="00C7281C" w:rsidRDefault="00B50219" w:rsidP="00B50219">
      <w:pPr>
        <w:pStyle w:val="Ttulo2"/>
        <w:numPr>
          <w:ilvl w:val="1"/>
          <w:numId w:val="15"/>
        </w:numPr>
        <w:spacing w:before="0" w:after="0" w:line="240" w:lineRule="auto"/>
        <w:ind w:left="0" w:firstLine="0"/>
        <w:jc w:val="both"/>
        <w:rPr>
          <w:szCs w:val="20"/>
        </w:rPr>
      </w:pPr>
      <w:bookmarkStart w:id="9" w:name="_Toc465935132"/>
      <w:r w:rsidRPr="00C7281C">
        <w:rPr>
          <w:szCs w:val="20"/>
        </w:rPr>
        <w:t>EXPECTATIVAS DE MERCADO</w:t>
      </w:r>
      <w:bookmarkEnd w:id="9"/>
    </w:p>
    <w:p w:rsidR="00B50219" w:rsidRPr="003B7580" w:rsidRDefault="00B50219" w:rsidP="00B50219">
      <w:pPr>
        <w:rPr>
          <w:sz w:val="16"/>
          <w:szCs w:val="16"/>
        </w:rPr>
      </w:pPr>
      <w:r>
        <w:rPr>
          <w:noProof/>
        </w:rPr>
        <w:drawing>
          <wp:inline distT="0" distB="0" distL="0" distR="0" wp14:anchorId="4CAB80A5" wp14:editId="6A7315A7">
            <wp:extent cx="5398770" cy="122174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8770" cy="1221740"/>
                    </a:xfrm>
                    <a:prstGeom prst="rect">
                      <a:avLst/>
                    </a:prstGeom>
                    <a:noFill/>
                    <a:ln>
                      <a:noFill/>
                    </a:ln>
                  </pic:spPr>
                </pic:pic>
              </a:graphicData>
            </a:graphic>
          </wp:inline>
        </w:drawing>
      </w:r>
      <w:bookmarkStart w:id="10" w:name="_Toc435202741"/>
      <w:r w:rsidRPr="003B7580">
        <w:rPr>
          <w:rFonts w:asciiTheme="majorHAnsi" w:hAnsiTheme="majorHAnsi"/>
          <w:sz w:val="16"/>
          <w:szCs w:val="16"/>
        </w:rPr>
        <w:t>Fonte: Bacen: Sistema de Expectativas de Mercado</w:t>
      </w:r>
    </w:p>
    <w:p w:rsidR="00B50219" w:rsidRPr="001A464C" w:rsidRDefault="00B50219" w:rsidP="00B50219">
      <w:pPr>
        <w:spacing w:beforeLines="120" w:before="288"/>
        <w:jc w:val="both"/>
        <w:rPr>
          <w:rFonts w:asciiTheme="majorHAnsi" w:hAnsiTheme="majorHAnsi"/>
          <w:sz w:val="20"/>
          <w:szCs w:val="20"/>
        </w:rPr>
      </w:pPr>
    </w:p>
    <w:p w:rsidR="00B50219" w:rsidRPr="00C7281C" w:rsidRDefault="00B50219" w:rsidP="00B50219">
      <w:pPr>
        <w:pStyle w:val="Ttulo1"/>
        <w:numPr>
          <w:ilvl w:val="0"/>
          <w:numId w:val="15"/>
        </w:numPr>
        <w:ind w:left="0" w:firstLine="0"/>
      </w:pPr>
      <w:bookmarkStart w:id="11" w:name="_Toc465935133"/>
      <w:r w:rsidRPr="00C7281C">
        <w:t>ALOCAÇÃO ESTRATÉGICA DOS RECURSOS</w:t>
      </w:r>
      <w:bookmarkEnd w:id="10"/>
      <w:bookmarkEnd w:id="11"/>
    </w:p>
    <w:p w:rsidR="00B50219" w:rsidRDefault="00B50219" w:rsidP="00B50219">
      <w:pPr>
        <w:spacing w:beforeLines="120" w:before="288"/>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Na aplicação dos recursos, os responsáveis pela gestão do RPPS devem observar os limites estabelecidos por esta Política de Investimentos e pela Resolução CMN nº 3.922/2010. Limites estabelecidos mediante estudo do cenário macroeconômico atual e de perspectivas futuras, com as hipóteses razoáveis de realização no curto e médio prazo, conforme descrito abaixo:</w:t>
      </w:r>
    </w:p>
    <w:p w:rsidR="00B50219" w:rsidRDefault="00B50219" w:rsidP="00B50219">
      <w:pPr>
        <w:spacing w:beforeLines="120" w:before="288"/>
        <w:jc w:val="center"/>
        <w:rPr>
          <w:rFonts w:asciiTheme="majorHAnsi" w:eastAsiaTheme="majorEastAsia" w:hAnsiTheme="majorHAnsi" w:cstheme="majorBidi"/>
          <w:b/>
          <w:sz w:val="20"/>
          <w:szCs w:val="20"/>
        </w:rPr>
      </w:pPr>
      <w:r w:rsidRPr="001A464C">
        <w:rPr>
          <w:rFonts w:asciiTheme="majorHAnsi" w:eastAsiaTheme="majorEastAsia" w:hAnsiTheme="majorHAnsi" w:cstheme="majorBidi"/>
          <w:b/>
          <w:sz w:val="20"/>
          <w:szCs w:val="20"/>
        </w:rPr>
        <w:t>Alocação Estratégica para o exercício de 2017</w:t>
      </w:r>
    </w:p>
    <w:p w:rsidR="00B50219" w:rsidRPr="004D13AD" w:rsidRDefault="00B50219" w:rsidP="00B50219">
      <w:pPr>
        <w:spacing w:beforeLines="120" w:before="288"/>
        <w:jc w:val="center"/>
        <w:rPr>
          <w:rFonts w:asciiTheme="majorHAnsi" w:hAnsiTheme="majorHAnsi"/>
          <w:bCs/>
          <w:color w:val="7F7F7F" w:themeColor="text1" w:themeTint="80"/>
          <w:sz w:val="20"/>
          <w:szCs w:val="20"/>
        </w:rPr>
      </w:pPr>
    </w:p>
    <w:tbl>
      <w:tblPr>
        <w:tblW w:w="8900" w:type="dxa"/>
        <w:tblInd w:w="70" w:type="dxa"/>
        <w:tblCellMar>
          <w:left w:w="70" w:type="dxa"/>
          <w:right w:w="70" w:type="dxa"/>
        </w:tblCellMar>
        <w:tblLook w:val="04A0" w:firstRow="1" w:lastRow="0" w:firstColumn="1" w:lastColumn="0" w:noHBand="0" w:noVBand="1"/>
      </w:tblPr>
      <w:tblGrid>
        <w:gridCol w:w="820"/>
        <w:gridCol w:w="4720"/>
        <w:gridCol w:w="1120"/>
        <w:gridCol w:w="1120"/>
        <w:gridCol w:w="1120"/>
      </w:tblGrid>
      <w:tr w:rsidR="00B50219" w:rsidRPr="0098062C" w:rsidTr="00B6079F">
        <w:trPr>
          <w:trHeight w:val="555"/>
        </w:trPr>
        <w:tc>
          <w:tcPr>
            <w:tcW w:w="820" w:type="dxa"/>
            <w:tcBorders>
              <w:top w:val="nil"/>
              <w:left w:val="nil"/>
              <w:bottom w:val="nil"/>
              <w:right w:val="nil"/>
            </w:tcBorders>
            <w:shd w:val="clear" w:color="auto" w:fill="auto"/>
            <w:noWrap/>
            <w:vAlign w:val="bottom"/>
            <w:hideMark/>
          </w:tcPr>
          <w:p w:rsidR="00B50219" w:rsidRPr="0098062C" w:rsidRDefault="00B50219" w:rsidP="00B6079F"/>
        </w:tc>
        <w:tc>
          <w:tcPr>
            <w:tcW w:w="4720" w:type="dxa"/>
            <w:tcBorders>
              <w:top w:val="nil"/>
              <w:left w:val="nil"/>
              <w:bottom w:val="nil"/>
              <w:right w:val="nil"/>
            </w:tcBorders>
            <w:shd w:val="clear" w:color="auto" w:fill="auto"/>
            <w:noWrap/>
            <w:vAlign w:val="bottom"/>
            <w:hideMark/>
          </w:tcPr>
          <w:p w:rsidR="00B50219" w:rsidRPr="0098062C" w:rsidRDefault="00B50219" w:rsidP="00B6079F">
            <w:pPr>
              <w:rPr>
                <w:sz w:val="20"/>
                <w:szCs w:val="20"/>
              </w:rPr>
            </w:pPr>
          </w:p>
        </w:tc>
        <w:tc>
          <w:tcPr>
            <w:tcW w:w="3360"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rsidR="00B50219" w:rsidRPr="0098062C" w:rsidRDefault="00B50219" w:rsidP="00B6079F">
            <w:pPr>
              <w:jc w:val="center"/>
              <w:rPr>
                <w:rFonts w:ascii="Calibri" w:hAnsi="Calibri"/>
                <w:b/>
                <w:bCs/>
                <w:color w:val="000000"/>
                <w:sz w:val="16"/>
                <w:szCs w:val="16"/>
              </w:rPr>
            </w:pPr>
            <w:r w:rsidRPr="0098062C">
              <w:rPr>
                <w:rFonts w:ascii="Calibri" w:hAnsi="Calibri"/>
                <w:b/>
                <w:bCs/>
                <w:color w:val="000000"/>
                <w:sz w:val="16"/>
                <w:szCs w:val="16"/>
              </w:rPr>
              <w:t>Estratégia de Alocação - Política de Investimento de 2017</w:t>
            </w:r>
          </w:p>
        </w:tc>
      </w:tr>
      <w:tr w:rsidR="00B50219" w:rsidRPr="0098062C" w:rsidTr="00B6079F">
        <w:trPr>
          <w:trHeight w:val="465"/>
        </w:trPr>
        <w:tc>
          <w:tcPr>
            <w:tcW w:w="82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B50219" w:rsidRPr="0098062C" w:rsidRDefault="00B50219" w:rsidP="00B6079F">
            <w:pPr>
              <w:jc w:val="center"/>
              <w:rPr>
                <w:rFonts w:ascii="Calibri" w:hAnsi="Calibri"/>
                <w:b/>
                <w:bCs/>
                <w:color w:val="000000"/>
                <w:sz w:val="16"/>
                <w:szCs w:val="16"/>
              </w:rPr>
            </w:pPr>
            <w:r w:rsidRPr="0098062C">
              <w:rPr>
                <w:rFonts w:ascii="Calibri" w:hAnsi="Calibri"/>
                <w:b/>
                <w:bCs/>
                <w:color w:val="000000"/>
                <w:sz w:val="16"/>
                <w:szCs w:val="16"/>
              </w:rPr>
              <w:lastRenderedPageBreak/>
              <w:t>Segmento</w:t>
            </w:r>
          </w:p>
        </w:tc>
        <w:tc>
          <w:tcPr>
            <w:tcW w:w="4720" w:type="dxa"/>
            <w:tcBorders>
              <w:top w:val="single" w:sz="8" w:space="0" w:color="auto"/>
              <w:left w:val="nil"/>
              <w:bottom w:val="single" w:sz="8" w:space="0" w:color="auto"/>
              <w:right w:val="single" w:sz="4" w:space="0" w:color="auto"/>
            </w:tcBorders>
            <w:shd w:val="clear" w:color="000000" w:fill="D9D9D9"/>
            <w:vAlign w:val="center"/>
            <w:hideMark/>
          </w:tcPr>
          <w:p w:rsidR="00B50219" w:rsidRPr="0098062C" w:rsidRDefault="00B50219" w:rsidP="00B6079F">
            <w:pPr>
              <w:jc w:val="center"/>
              <w:rPr>
                <w:rFonts w:ascii="Calibri" w:hAnsi="Calibri"/>
                <w:b/>
                <w:bCs/>
                <w:color w:val="000000"/>
                <w:sz w:val="16"/>
                <w:szCs w:val="16"/>
              </w:rPr>
            </w:pPr>
            <w:r w:rsidRPr="0098062C">
              <w:rPr>
                <w:rFonts w:ascii="Calibri" w:hAnsi="Calibri"/>
                <w:b/>
                <w:bCs/>
                <w:color w:val="000000"/>
                <w:sz w:val="16"/>
                <w:szCs w:val="16"/>
              </w:rPr>
              <w:t>Tipo de Ativo</w:t>
            </w:r>
          </w:p>
        </w:tc>
        <w:tc>
          <w:tcPr>
            <w:tcW w:w="1120" w:type="dxa"/>
            <w:tcBorders>
              <w:top w:val="nil"/>
              <w:left w:val="single" w:sz="8" w:space="0" w:color="auto"/>
              <w:bottom w:val="single" w:sz="8" w:space="0" w:color="auto"/>
              <w:right w:val="single" w:sz="4" w:space="0" w:color="auto"/>
            </w:tcBorders>
            <w:shd w:val="clear" w:color="000000" w:fill="D9D9D9"/>
            <w:vAlign w:val="center"/>
            <w:hideMark/>
          </w:tcPr>
          <w:p w:rsidR="00B50219" w:rsidRPr="0098062C" w:rsidRDefault="00B50219" w:rsidP="00B6079F">
            <w:pPr>
              <w:jc w:val="center"/>
              <w:rPr>
                <w:rFonts w:ascii="Calibri" w:hAnsi="Calibri"/>
                <w:b/>
                <w:bCs/>
                <w:color w:val="000000"/>
                <w:sz w:val="16"/>
                <w:szCs w:val="16"/>
              </w:rPr>
            </w:pPr>
            <w:r w:rsidRPr="0098062C">
              <w:rPr>
                <w:rFonts w:ascii="Calibri" w:hAnsi="Calibri"/>
                <w:b/>
                <w:bCs/>
                <w:color w:val="000000"/>
                <w:sz w:val="16"/>
                <w:szCs w:val="16"/>
              </w:rPr>
              <w:t>Limite Inferior (%)</w:t>
            </w:r>
          </w:p>
        </w:tc>
        <w:tc>
          <w:tcPr>
            <w:tcW w:w="1120" w:type="dxa"/>
            <w:tcBorders>
              <w:top w:val="nil"/>
              <w:left w:val="nil"/>
              <w:bottom w:val="single" w:sz="8" w:space="0" w:color="auto"/>
              <w:right w:val="single" w:sz="4" w:space="0" w:color="auto"/>
            </w:tcBorders>
            <w:shd w:val="clear" w:color="000000" w:fill="D9D9D9"/>
            <w:vAlign w:val="center"/>
            <w:hideMark/>
          </w:tcPr>
          <w:p w:rsidR="00B50219" w:rsidRPr="0098062C" w:rsidRDefault="00B50219" w:rsidP="00B6079F">
            <w:pPr>
              <w:jc w:val="center"/>
              <w:rPr>
                <w:rFonts w:ascii="Calibri" w:hAnsi="Calibri"/>
                <w:b/>
                <w:bCs/>
                <w:color w:val="000000"/>
                <w:sz w:val="16"/>
                <w:szCs w:val="16"/>
              </w:rPr>
            </w:pPr>
            <w:r w:rsidRPr="0098062C">
              <w:rPr>
                <w:rFonts w:ascii="Calibri" w:hAnsi="Calibri"/>
                <w:b/>
                <w:bCs/>
                <w:color w:val="000000"/>
                <w:sz w:val="16"/>
                <w:szCs w:val="16"/>
              </w:rPr>
              <w:t>Estratégia Alvo (%)</w:t>
            </w:r>
          </w:p>
        </w:tc>
        <w:tc>
          <w:tcPr>
            <w:tcW w:w="1120" w:type="dxa"/>
            <w:tcBorders>
              <w:top w:val="nil"/>
              <w:left w:val="nil"/>
              <w:bottom w:val="single" w:sz="8" w:space="0" w:color="auto"/>
              <w:right w:val="single" w:sz="8" w:space="0" w:color="auto"/>
            </w:tcBorders>
            <w:shd w:val="clear" w:color="000000" w:fill="D9D9D9"/>
            <w:vAlign w:val="center"/>
            <w:hideMark/>
          </w:tcPr>
          <w:p w:rsidR="00B50219" w:rsidRPr="0098062C" w:rsidRDefault="00B50219" w:rsidP="00B6079F">
            <w:pPr>
              <w:jc w:val="center"/>
              <w:rPr>
                <w:rFonts w:ascii="Calibri" w:hAnsi="Calibri"/>
                <w:b/>
                <w:bCs/>
                <w:color w:val="000000"/>
                <w:sz w:val="16"/>
                <w:szCs w:val="16"/>
              </w:rPr>
            </w:pPr>
            <w:r w:rsidRPr="0098062C">
              <w:rPr>
                <w:rFonts w:ascii="Calibri" w:hAnsi="Calibri"/>
                <w:b/>
                <w:bCs/>
                <w:color w:val="000000"/>
                <w:sz w:val="16"/>
                <w:szCs w:val="16"/>
              </w:rPr>
              <w:t>Limite Superior (%)</w:t>
            </w:r>
          </w:p>
        </w:tc>
      </w:tr>
      <w:tr w:rsidR="00B50219" w:rsidRPr="0098062C" w:rsidTr="00B6079F">
        <w:trPr>
          <w:trHeight w:val="300"/>
        </w:trPr>
        <w:tc>
          <w:tcPr>
            <w:tcW w:w="82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B50219" w:rsidRPr="0098062C" w:rsidRDefault="00B50219" w:rsidP="00B6079F">
            <w:pPr>
              <w:jc w:val="center"/>
              <w:rPr>
                <w:rFonts w:ascii="Calibri" w:hAnsi="Calibri"/>
                <w:b/>
                <w:bCs/>
                <w:color w:val="000000"/>
                <w:sz w:val="16"/>
                <w:szCs w:val="16"/>
              </w:rPr>
            </w:pPr>
            <w:r w:rsidRPr="0098062C">
              <w:rPr>
                <w:rFonts w:ascii="Calibri" w:hAnsi="Calibri"/>
                <w:b/>
                <w:bCs/>
                <w:color w:val="000000"/>
                <w:sz w:val="16"/>
                <w:szCs w:val="16"/>
              </w:rPr>
              <w:t>Renda Fixa</w:t>
            </w:r>
          </w:p>
        </w:tc>
        <w:tc>
          <w:tcPr>
            <w:tcW w:w="4720" w:type="dxa"/>
            <w:tcBorders>
              <w:top w:val="nil"/>
              <w:left w:val="nil"/>
              <w:bottom w:val="single" w:sz="4" w:space="0" w:color="auto"/>
              <w:right w:val="single" w:sz="4" w:space="0" w:color="auto"/>
            </w:tcBorders>
            <w:shd w:val="clear" w:color="auto" w:fill="auto"/>
            <w:noWrap/>
            <w:vAlign w:val="bottom"/>
            <w:hideMark/>
          </w:tcPr>
          <w:p w:rsidR="00B50219" w:rsidRPr="0098062C" w:rsidRDefault="00B50219" w:rsidP="00B6079F">
            <w:pPr>
              <w:rPr>
                <w:rFonts w:ascii="Calibri" w:hAnsi="Calibri"/>
                <w:color w:val="000000"/>
                <w:sz w:val="16"/>
                <w:szCs w:val="16"/>
              </w:rPr>
            </w:pPr>
            <w:r w:rsidRPr="0098062C">
              <w:rPr>
                <w:rFonts w:ascii="Calibri" w:hAnsi="Calibri"/>
                <w:color w:val="000000"/>
                <w:sz w:val="16"/>
                <w:szCs w:val="16"/>
              </w:rPr>
              <w:t>Títulos Tesouro Nacional – SELIC - Art. 7º, I, “a”.</w:t>
            </w:r>
          </w:p>
        </w:tc>
        <w:tc>
          <w:tcPr>
            <w:tcW w:w="1120" w:type="dxa"/>
            <w:tcBorders>
              <w:top w:val="nil"/>
              <w:left w:val="single" w:sz="8" w:space="0" w:color="auto"/>
              <w:bottom w:val="single" w:sz="4" w:space="0" w:color="auto"/>
              <w:right w:val="single" w:sz="4" w:space="0" w:color="auto"/>
            </w:tcBorders>
            <w:shd w:val="clear" w:color="000000" w:fill="F2F2F2"/>
            <w:noWrap/>
            <w:vAlign w:val="center"/>
            <w:hideMark/>
          </w:tcPr>
          <w:p w:rsidR="00B50219" w:rsidRPr="0098062C" w:rsidRDefault="00B50219" w:rsidP="00B6079F">
            <w:pPr>
              <w:jc w:val="center"/>
              <w:rPr>
                <w:rFonts w:ascii="Calibri" w:hAnsi="Calibri"/>
                <w:color w:val="000000"/>
                <w:sz w:val="16"/>
                <w:szCs w:val="16"/>
              </w:rPr>
            </w:pPr>
            <w:r w:rsidRPr="0098062C">
              <w:rPr>
                <w:rFonts w:ascii="Calibri" w:hAnsi="Calibri"/>
                <w:color w:val="000000"/>
                <w:sz w:val="16"/>
                <w:szCs w:val="16"/>
              </w:rPr>
              <w:t>0,00%</w:t>
            </w:r>
          </w:p>
        </w:tc>
        <w:tc>
          <w:tcPr>
            <w:tcW w:w="1120" w:type="dxa"/>
            <w:tcBorders>
              <w:top w:val="nil"/>
              <w:left w:val="nil"/>
              <w:bottom w:val="single" w:sz="4" w:space="0" w:color="auto"/>
              <w:right w:val="single" w:sz="4" w:space="0" w:color="auto"/>
            </w:tcBorders>
            <w:shd w:val="clear" w:color="000000" w:fill="F2F2F2"/>
            <w:noWrap/>
            <w:vAlign w:val="center"/>
            <w:hideMark/>
          </w:tcPr>
          <w:p w:rsidR="00B50219" w:rsidRPr="0098062C" w:rsidRDefault="00B50219" w:rsidP="00B6079F">
            <w:pPr>
              <w:jc w:val="center"/>
              <w:rPr>
                <w:rFonts w:ascii="Calibri" w:hAnsi="Calibri"/>
                <w:color w:val="000000"/>
                <w:sz w:val="16"/>
                <w:szCs w:val="16"/>
              </w:rPr>
            </w:pPr>
            <w:r w:rsidRPr="0098062C">
              <w:rPr>
                <w:rFonts w:ascii="Calibri" w:hAnsi="Calibri"/>
                <w:color w:val="000000"/>
                <w:sz w:val="16"/>
                <w:szCs w:val="16"/>
              </w:rPr>
              <w:t>0,00%</w:t>
            </w:r>
          </w:p>
        </w:tc>
        <w:tc>
          <w:tcPr>
            <w:tcW w:w="1120" w:type="dxa"/>
            <w:tcBorders>
              <w:top w:val="nil"/>
              <w:left w:val="nil"/>
              <w:bottom w:val="single" w:sz="4" w:space="0" w:color="auto"/>
              <w:right w:val="single" w:sz="8" w:space="0" w:color="auto"/>
            </w:tcBorders>
            <w:shd w:val="clear" w:color="000000" w:fill="F2F2F2"/>
            <w:noWrap/>
            <w:vAlign w:val="center"/>
            <w:hideMark/>
          </w:tcPr>
          <w:p w:rsidR="00B50219" w:rsidRPr="0098062C" w:rsidRDefault="00B50219" w:rsidP="00B6079F">
            <w:pPr>
              <w:jc w:val="center"/>
              <w:rPr>
                <w:rFonts w:ascii="Calibri" w:hAnsi="Calibri"/>
                <w:color w:val="000000"/>
                <w:sz w:val="16"/>
                <w:szCs w:val="16"/>
              </w:rPr>
            </w:pPr>
            <w:r w:rsidRPr="0098062C">
              <w:rPr>
                <w:rFonts w:ascii="Calibri" w:hAnsi="Calibri"/>
                <w:color w:val="000000"/>
                <w:sz w:val="16"/>
                <w:szCs w:val="16"/>
              </w:rPr>
              <w:t>0,00%</w:t>
            </w:r>
          </w:p>
        </w:tc>
      </w:tr>
      <w:tr w:rsidR="00B50219" w:rsidRPr="0098062C" w:rsidTr="00B6079F">
        <w:trPr>
          <w:trHeight w:val="300"/>
        </w:trPr>
        <w:tc>
          <w:tcPr>
            <w:tcW w:w="820" w:type="dxa"/>
            <w:vMerge/>
            <w:tcBorders>
              <w:top w:val="nil"/>
              <w:left w:val="single" w:sz="8" w:space="0" w:color="auto"/>
              <w:bottom w:val="single" w:sz="8" w:space="0" w:color="000000"/>
              <w:right w:val="single" w:sz="8" w:space="0" w:color="auto"/>
            </w:tcBorders>
            <w:vAlign w:val="center"/>
            <w:hideMark/>
          </w:tcPr>
          <w:p w:rsidR="00B50219" w:rsidRPr="0098062C" w:rsidRDefault="00B50219" w:rsidP="00B6079F">
            <w:pPr>
              <w:rPr>
                <w:rFonts w:ascii="Calibri" w:hAnsi="Calibri"/>
                <w:b/>
                <w:bCs/>
                <w:color w:val="000000"/>
                <w:sz w:val="16"/>
                <w:szCs w:val="16"/>
              </w:rPr>
            </w:pPr>
          </w:p>
        </w:tc>
        <w:tc>
          <w:tcPr>
            <w:tcW w:w="4720" w:type="dxa"/>
            <w:tcBorders>
              <w:top w:val="nil"/>
              <w:left w:val="nil"/>
              <w:bottom w:val="single" w:sz="4" w:space="0" w:color="auto"/>
              <w:right w:val="single" w:sz="4" w:space="0" w:color="auto"/>
            </w:tcBorders>
            <w:shd w:val="clear" w:color="auto" w:fill="auto"/>
            <w:noWrap/>
            <w:vAlign w:val="bottom"/>
            <w:hideMark/>
          </w:tcPr>
          <w:p w:rsidR="00B50219" w:rsidRPr="0098062C" w:rsidRDefault="00B50219" w:rsidP="00B6079F">
            <w:pPr>
              <w:rPr>
                <w:rFonts w:ascii="Calibri" w:hAnsi="Calibri"/>
                <w:color w:val="000000"/>
                <w:sz w:val="16"/>
                <w:szCs w:val="16"/>
              </w:rPr>
            </w:pPr>
            <w:r w:rsidRPr="0098062C">
              <w:rPr>
                <w:rFonts w:ascii="Calibri" w:hAnsi="Calibri"/>
                <w:color w:val="000000"/>
                <w:sz w:val="16"/>
                <w:szCs w:val="16"/>
              </w:rPr>
              <w:t>FI 100% títulos TN - Art. 7º, I, "b"</w:t>
            </w:r>
          </w:p>
        </w:tc>
        <w:tc>
          <w:tcPr>
            <w:tcW w:w="1120" w:type="dxa"/>
            <w:tcBorders>
              <w:top w:val="nil"/>
              <w:left w:val="single" w:sz="8" w:space="0" w:color="auto"/>
              <w:bottom w:val="single" w:sz="4" w:space="0" w:color="auto"/>
              <w:right w:val="single" w:sz="4" w:space="0" w:color="auto"/>
            </w:tcBorders>
            <w:shd w:val="clear" w:color="000000" w:fill="F2F2F2"/>
            <w:noWrap/>
            <w:vAlign w:val="center"/>
            <w:hideMark/>
          </w:tcPr>
          <w:p w:rsidR="00B50219" w:rsidRPr="0098062C" w:rsidRDefault="00B50219" w:rsidP="00B6079F">
            <w:pPr>
              <w:jc w:val="center"/>
              <w:rPr>
                <w:rFonts w:ascii="Calibri" w:hAnsi="Calibri"/>
                <w:color w:val="000000"/>
                <w:sz w:val="16"/>
                <w:szCs w:val="16"/>
              </w:rPr>
            </w:pPr>
            <w:r w:rsidRPr="0098062C">
              <w:rPr>
                <w:rFonts w:ascii="Calibri" w:hAnsi="Calibri"/>
                <w:color w:val="000000"/>
                <w:sz w:val="16"/>
                <w:szCs w:val="16"/>
              </w:rPr>
              <w:t>30,00%</w:t>
            </w:r>
          </w:p>
        </w:tc>
        <w:tc>
          <w:tcPr>
            <w:tcW w:w="1120" w:type="dxa"/>
            <w:tcBorders>
              <w:top w:val="nil"/>
              <w:left w:val="nil"/>
              <w:bottom w:val="single" w:sz="4" w:space="0" w:color="auto"/>
              <w:right w:val="single" w:sz="4" w:space="0" w:color="auto"/>
            </w:tcBorders>
            <w:shd w:val="clear" w:color="000000" w:fill="F2F2F2"/>
            <w:noWrap/>
            <w:vAlign w:val="center"/>
            <w:hideMark/>
          </w:tcPr>
          <w:p w:rsidR="00B50219" w:rsidRPr="0098062C" w:rsidRDefault="00B50219" w:rsidP="00B6079F">
            <w:pPr>
              <w:jc w:val="center"/>
              <w:rPr>
                <w:rFonts w:ascii="Calibri" w:hAnsi="Calibri"/>
                <w:color w:val="000000"/>
                <w:sz w:val="16"/>
                <w:szCs w:val="16"/>
              </w:rPr>
            </w:pPr>
            <w:r w:rsidRPr="0098062C">
              <w:rPr>
                <w:rFonts w:ascii="Calibri" w:hAnsi="Calibri"/>
                <w:color w:val="000000"/>
                <w:sz w:val="16"/>
                <w:szCs w:val="16"/>
              </w:rPr>
              <w:t>35,00%</w:t>
            </w:r>
          </w:p>
        </w:tc>
        <w:tc>
          <w:tcPr>
            <w:tcW w:w="1120" w:type="dxa"/>
            <w:tcBorders>
              <w:top w:val="nil"/>
              <w:left w:val="nil"/>
              <w:bottom w:val="single" w:sz="4" w:space="0" w:color="auto"/>
              <w:right w:val="single" w:sz="8" w:space="0" w:color="auto"/>
            </w:tcBorders>
            <w:shd w:val="clear" w:color="000000" w:fill="F2F2F2"/>
            <w:noWrap/>
            <w:vAlign w:val="center"/>
            <w:hideMark/>
          </w:tcPr>
          <w:p w:rsidR="00B50219" w:rsidRPr="0098062C" w:rsidRDefault="00B50219" w:rsidP="00B6079F">
            <w:pPr>
              <w:jc w:val="center"/>
              <w:rPr>
                <w:rFonts w:ascii="Calibri" w:hAnsi="Calibri"/>
                <w:color w:val="000000"/>
                <w:sz w:val="16"/>
                <w:szCs w:val="16"/>
              </w:rPr>
            </w:pPr>
            <w:r>
              <w:rPr>
                <w:rFonts w:ascii="Calibri" w:hAnsi="Calibri"/>
                <w:color w:val="000000"/>
                <w:sz w:val="16"/>
                <w:szCs w:val="16"/>
              </w:rPr>
              <w:t>10</w:t>
            </w:r>
            <w:r w:rsidRPr="0098062C">
              <w:rPr>
                <w:rFonts w:ascii="Calibri" w:hAnsi="Calibri"/>
                <w:color w:val="000000"/>
                <w:sz w:val="16"/>
                <w:szCs w:val="16"/>
              </w:rPr>
              <w:t>0,00%</w:t>
            </w:r>
          </w:p>
        </w:tc>
      </w:tr>
      <w:tr w:rsidR="00B50219" w:rsidRPr="0098062C" w:rsidTr="00B6079F">
        <w:trPr>
          <w:trHeight w:val="300"/>
        </w:trPr>
        <w:tc>
          <w:tcPr>
            <w:tcW w:w="820" w:type="dxa"/>
            <w:vMerge/>
            <w:tcBorders>
              <w:top w:val="nil"/>
              <w:left w:val="single" w:sz="8" w:space="0" w:color="auto"/>
              <w:bottom w:val="single" w:sz="8" w:space="0" w:color="000000"/>
              <w:right w:val="single" w:sz="8" w:space="0" w:color="auto"/>
            </w:tcBorders>
            <w:vAlign w:val="center"/>
            <w:hideMark/>
          </w:tcPr>
          <w:p w:rsidR="00B50219" w:rsidRPr="0098062C" w:rsidRDefault="00B50219" w:rsidP="00B6079F">
            <w:pPr>
              <w:rPr>
                <w:rFonts w:ascii="Calibri" w:hAnsi="Calibri"/>
                <w:b/>
                <w:bCs/>
                <w:color w:val="000000"/>
                <w:sz w:val="16"/>
                <w:szCs w:val="16"/>
              </w:rPr>
            </w:pPr>
          </w:p>
        </w:tc>
        <w:tc>
          <w:tcPr>
            <w:tcW w:w="4720" w:type="dxa"/>
            <w:tcBorders>
              <w:top w:val="nil"/>
              <w:left w:val="nil"/>
              <w:bottom w:val="single" w:sz="4" w:space="0" w:color="auto"/>
              <w:right w:val="single" w:sz="4" w:space="0" w:color="auto"/>
            </w:tcBorders>
            <w:shd w:val="clear" w:color="auto" w:fill="auto"/>
            <w:noWrap/>
            <w:vAlign w:val="bottom"/>
            <w:hideMark/>
          </w:tcPr>
          <w:p w:rsidR="00B50219" w:rsidRPr="0098062C" w:rsidRDefault="00B50219" w:rsidP="00B6079F">
            <w:pPr>
              <w:rPr>
                <w:rFonts w:ascii="Calibri" w:hAnsi="Calibri"/>
                <w:color w:val="000000"/>
                <w:sz w:val="16"/>
                <w:szCs w:val="16"/>
              </w:rPr>
            </w:pPr>
            <w:r w:rsidRPr="0098062C">
              <w:rPr>
                <w:rFonts w:ascii="Calibri" w:hAnsi="Calibri"/>
                <w:color w:val="000000"/>
                <w:sz w:val="16"/>
                <w:szCs w:val="16"/>
              </w:rPr>
              <w:t>Operações Compromissadas - Art. 7º, II</w:t>
            </w:r>
          </w:p>
        </w:tc>
        <w:tc>
          <w:tcPr>
            <w:tcW w:w="1120" w:type="dxa"/>
            <w:tcBorders>
              <w:top w:val="nil"/>
              <w:left w:val="single" w:sz="8" w:space="0" w:color="auto"/>
              <w:bottom w:val="single" w:sz="4" w:space="0" w:color="auto"/>
              <w:right w:val="single" w:sz="4" w:space="0" w:color="auto"/>
            </w:tcBorders>
            <w:shd w:val="clear" w:color="000000" w:fill="F2F2F2"/>
            <w:noWrap/>
            <w:vAlign w:val="center"/>
            <w:hideMark/>
          </w:tcPr>
          <w:p w:rsidR="00B50219" w:rsidRPr="0098062C" w:rsidRDefault="00B50219" w:rsidP="00B6079F">
            <w:pPr>
              <w:jc w:val="center"/>
              <w:rPr>
                <w:rFonts w:ascii="Calibri" w:hAnsi="Calibri"/>
                <w:color w:val="000000"/>
                <w:sz w:val="16"/>
                <w:szCs w:val="16"/>
              </w:rPr>
            </w:pPr>
            <w:r w:rsidRPr="0098062C">
              <w:rPr>
                <w:rFonts w:ascii="Calibri" w:hAnsi="Calibri"/>
                <w:color w:val="000000"/>
                <w:sz w:val="16"/>
                <w:szCs w:val="16"/>
              </w:rPr>
              <w:t>0,00%</w:t>
            </w:r>
          </w:p>
        </w:tc>
        <w:tc>
          <w:tcPr>
            <w:tcW w:w="1120" w:type="dxa"/>
            <w:tcBorders>
              <w:top w:val="nil"/>
              <w:left w:val="nil"/>
              <w:bottom w:val="single" w:sz="4" w:space="0" w:color="auto"/>
              <w:right w:val="single" w:sz="4" w:space="0" w:color="auto"/>
            </w:tcBorders>
            <w:shd w:val="clear" w:color="000000" w:fill="F2F2F2"/>
            <w:noWrap/>
            <w:vAlign w:val="center"/>
            <w:hideMark/>
          </w:tcPr>
          <w:p w:rsidR="00B50219" w:rsidRPr="0098062C" w:rsidRDefault="00B50219" w:rsidP="00B6079F">
            <w:pPr>
              <w:jc w:val="center"/>
              <w:rPr>
                <w:rFonts w:ascii="Calibri" w:hAnsi="Calibri"/>
                <w:color w:val="000000"/>
                <w:sz w:val="16"/>
                <w:szCs w:val="16"/>
              </w:rPr>
            </w:pPr>
            <w:r w:rsidRPr="0098062C">
              <w:rPr>
                <w:rFonts w:ascii="Calibri" w:hAnsi="Calibri"/>
                <w:color w:val="000000"/>
                <w:sz w:val="16"/>
                <w:szCs w:val="16"/>
              </w:rPr>
              <w:t>0,00%</w:t>
            </w:r>
          </w:p>
        </w:tc>
        <w:tc>
          <w:tcPr>
            <w:tcW w:w="1120" w:type="dxa"/>
            <w:tcBorders>
              <w:top w:val="nil"/>
              <w:left w:val="nil"/>
              <w:bottom w:val="single" w:sz="4" w:space="0" w:color="auto"/>
              <w:right w:val="single" w:sz="8" w:space="0" w:color="auto"/>
            </w:tcBorders>
            <w:shd w:val="clear" w:color="000000" w:fill="F2F2F2"/>
            <w:noWrap/>
            <w:vAlign w:val="center"/>
            <w:hideMark/>
          </w:tcPr>
          <w:p w:rsidR="00B50219" w:rsidRPr="0098062C" w:rsidRDefault="00B50219" w:rsidP="00B6079F">
            <w:pPr>
              <w:jc w:val="center"/>
              <w:rPr>
                <w:rFonts w:ascii="Calibri" w:hAnsi="Calibri"/>
                <w:color w:val="000000"/>
                <w:sz w:val="16"/>
                <w:szCs w:val="16"/>
              </w:rPr>
            </w:pPr>
            <w:r w:rsidRPr="0098062C">
              <w:rPr>
                <w:rFonts w:ascii="Calibri" w:hAnsi="Calibri"/>
                <w:color w:val="000000"/>
                <w:sz w:val="16"/>
                <w:szCs w:val="16"/>
              </w:rPr>
              <w:t>0,00%</w:t>
            </w:r>
          </w:p>
        </w:tc>
      </w:tr>
      <w:tr w:rsidR="00B50219" w:rsidRPr="0098062C" w:rsidTr="00B6079F">
        <w:trPr>
          <w:trHeight w:val="300"/>
        </w:trPr>
        <w:tc>
          <w:tcPr>
            <w:tcW w:w="820" w:type="dxa"/>
            <w:vMerge/>
            <w:tcBorders>
              <w:top w:val="nil"/>
              <w:left w:val="single" w:sz="8" w:space="0" w:color="auto"/>
              <w:bottom w:val="single" w:sz="8" w:space="0" w:color="000000"/>
              <w:right w:val="single" w:sz="8" w:space="0" w:color="auto"/>
            </w:tcBorders>
            <w:vAlign w:val="center"/>
            <w:hideMark/>
          </w:tcPr>
          <w:p w:rsidR="00B50219" w:rsidRPr="0098062C" w:rsidRDefault="00B50219" w:rsidP="00B6079F">
            <w:pPr>
              <w:rPr>
                <w:rFonts w:ascii="Calibri" w:hAnsi="Calibri"/>
                <w:b/>
                <w:bCs/>
                <w:color w:val="000000"/>
                <w:sz w:val="16"/>
                <w:szCs w:val="16"/>
              </w:rPr>
            </w:pPr>
          </w:p>
        </w:tc>
        <w:tc>
          <w:tcPr>
            <w:tcW w:w="4720" w:type="dxa"/>
            <w:tcBorders>
              <w:top w:val="nil"/>
              <w:left w:val="nil"/>
              <w:bottom w:val="single" w:sz="4" w:space="0" w:color="auto"/>
              <w:right w:val="single" w:sz="4" w:space="0" w:color="auto"/>
            </w:tcBorders>
            <w:shd w:val="clear" w:color="auto" w:fill="auto"/>
            <w:noWrap/>
            <w:vAlign w:val="bottom"/>
            <w:hideMark/>
          </w:tcPr>
          <w:p w:rsidR="00B50219" w:rsidRPr="0098062C" w:rsidRDefault="00B50219" w:rsidP="00B6079F">
            <w:pPr>
              <w:rPr>
                <w:rFonts w:ascii="Calibri" w:hAnsi="Calibri"/>
                <w:color w:val="000000"/>
                <w:sz w:val="16"/>
                <w:szCs w:val="16"/>
              </w:rPr>
            </w:pPr>
            <w:r w:rsidRPr="0098062C">
              <w:rPr>
                <w:rFonts w:ascii="Calibri" w:hAnsi="Calibri"/>
                <w:color w:val="000000"/>
                <w:sz w:val="16"/>
                <w:szCs w:val="16"/>
              </w:rPr>
              <w:t>FI Renda Fixa/Referenciados RF - Art. 7º, III, Alínea “a”</w:t>
            </w:r>
          </w:p>
        </w:tc>
        <w:tc>
          <w:tcPr>
            <w:tcW w:w="1120" w:type="dxa"/>
            <w:tcBorders>
              <w:top w:val="nil"/>
              <w:left w:val="single" w:sz="8" w:space="0" w:color="auto"/>
              <w:bottom w:val="single" w:sz="4" w:space="0" w:color="auto"/>
              <w:right w:val="single" w:sz="4" w:space="0" w:color="auto"/>
            </w:tcBorders>
            <w:shd w:val="clear" w:color="000000" w:fill="F2F2F2"/>
            <w:noWrap/>
            <w:vAlign w:val="center"/>
            <w:hideMark/>
          </w:tcPr>
          <w:p w:rsidR="00B50219" w:rsidRPr="0098062C" w:rsidRDefault="00B50219" w:rsidP="00B6079F">
            <w:pPr>
              <w:jc w:val="center"/>
              <w:rPr>
                <w:rFonts w:ascii="Calibri" w:hAnsi="Calibri"/>
                <w:color w:val="000000"/>
                <w:sz w:val="16"/>
                <w:szCs w:val="16"/>
              </w:rPr>
            </w:pPr>
            <w:r w:rsidRPr="0098062C">
              <w:rPr>
                <w:rFonts w:ascii="Calibri" w:hAnsi="Calibri"/>
                <w:color w:val="000000"/>
                <w:sz w:val="16"/>
                <w:szCs w:val="16"/>
              </w:rPr>
              <w:t>15,00%</w:t>
            </w:r>
          </w:p>
        </w:tc>
        <w:tc>
          <w:tcPr>
            <w:tcW w:w="1120" w:type="dxa"/>
            <w:tcBorders>
              <w:top w:val="nil"/>
              <w:left w:val="nil"/>
              <w:bottom w:val="single" w:sz="4" w:space="0" w:color="auto"/>
              <w:right w:val="single" w:sz="4" w:space="0" w:color="auto"/>
            </w:tcBorders>
            <w:shd w:val="clear" w:color="000000" w:fill="F2F2F2"/>
            <w:noWrap/>
            <w:vAlign w:val="center"/>
            <w:hideMark/>
          </w:tcPr>
          <w:p w:rsidR="00B50219" w:rsidRPr="0098062C" w:rsidRDefault="00B50219" w:rsidP="00B6079F">
            <w:pPr>
              <w:jc w:val="center"/>
              <w:rPr>
                <w:rFonts w:ascii="Calibri" w:hAnsi="Calibri"/>
                <w:color w:val="000000"/>
                <w:sz w:val="16"/>
                <w:szCs w:val="16"/>
              </w:rPr>
            </w:pPr>
            <w:r w:rsidRPr="0098062C">
              <w:rPr>
                <w:rFonts w:ascii="Calibri" w:hAnsi="Calibri"/>
                <w:color w:val="000000"/>
                <w:sz w:val="16"/>
                <w:szCs w:val="16"/>
              </w:rPr>
              <w:t>20,00%</w:t>
            </w:r>
          </w:p>
        </w:tc>
        <w:tc>
          <w:tcPr>
            <w:tcW w:w="1120" w:type="dxa"/>
            <w:tcBorders>
              <w:top w:val="nil"/>
              <w:left w:val="nil"/>
              <w:bottom w:val="single" w:sz="4" w:space="0" w:color="auto"/>
              <w:right w:val="single" w:sz="8" w:space="0" w:color="auto"/>
            </w:tcBorders>
            <w:shd w:val="clear" w:color="000000" w:fill="F2F2F2"/>
            <w:noWrap/>
            <w:vAlign w:val="center"/>
            <w:hideMark/>
          </w:tcPr>
          <w:p w:rsidR="00B50219" w:rsidRPr="0098062C" w:rsidRDefault="00B50219" w:rsidP="00B6079F">
            <w:pPr>
              <w:jc w:val="center"/>
              <w:rPr>
                <w:rFonts w:ascii="Calibri" w:hAnsi="Calibri"/>
                <w:color w:val="000000"/>
                <w:sz w:val="16"/>
                <w:szCs w:val="16"/>
              </w:rPr>
            </w:pPr>
            <w:r w:rsidRPr="0098062C">
              <w:rPr>
                <w:rFonts w:ascii="Calibri" w:hAnsi="Calibri"/>
                <w:color w:val="000000"/>
                <w:sz w:val="16"/>
                <w:szCs w:val="16"/>
              </w:rPr>
              <w:t>60,00%</w:t>
            </w:r>
          </w:p>
        </w:tc>
      </w:tr>
      <w:tr w:rsidR="00B50219" w:rsidRPr="0098062C" w:rsidTr="00B6079F">
        <w:trPr>
          <w:trHeight w:val="300"/>
        </w:trPr>
        <w:tc>
          <w:tcPr>
            <w:tcW w:w="820" w:type="dxa"/>
            <w:vMerge/>
            <w:tcBorders>
              <w:top w:val="nil"/>
              <w:left w:val="single" w:sz="8" w:space="0" w:color="auto"/>
              <w:bottom w:val="single" w:sz="8" w:space="0" w:color="000000"/>
              <w:right w:val="single" w:sz="8" w:space="0" w:color="auto"/>
            </w:tcBorders>
            <w:vAlign w:val="center"/>
            <w:hideMark/>
          </w:tcPr>
          <w:p w:rsidR="00B50219" w:rsidRPr="0098062C" w:rsidRDefault="00B50219" w:rsidP="00B6079F">
            <w:pPr>
              <w:rPr>
                <w:rFonts w:ascii="Calibri" w:hAnsi="Calibri"/>
                <w:b/>
                <w:bCs/>
                <w:color w:val="000000"/>
                <w:sz w:val="16"/>
                <w:szCs w:val="16"/>
              </w:rPr>
            </w:pPr>
          </w:p>
        </w:tc>
        <w:tc>
          <w:tcPr>
            <w:tcW w:w="4720" w:type="dxa"/>
            <w:tcBorders>
              <w:top w:val="nil"/>
              <w:left w:val="nil"/>
              <w:bottom w:val="single" w:sz="4" w:space="0" w:color="auto"/>
              <w:right w:val="single" w:sz="4" w:space="0" w:color="auto"/>
            </w:tcBorders>
            <w:shd w:val="clear" w:color="auto" w:fill="auto"/>
            <w:noWrap/>
            <w:vAlign w:val="bottom"/>
            <w:hideMark/>
          </w:tcPr>
          <w:p w:rsidR="00B50219" w:rsidRPr="0098062C" w:rsidRDefault="00B50219" w:rsidP="00B6079F">
            <w:pPr>
              <w:rPr>
                <w:rFonts w:ascii="Calibri" w:hAnsi="Calibri"/>
                <w:color w:val="000000"/>
                <w:sz w:val="16"/>
                <w:szCs w:val="16"/>
              </w:rPr>
            </w:pPr>
            <w:r w:rsidRPr="0098062C">
              <w:rPr>
                <w:rFonts w:ascii="Calibri" w:hAnsi="Calibri"/>
                <w:color w:val="000000"/>
                <w:sz w:val="16"/>
                <w:szCs w:val="16"/>
              </w:rPr>
              <w:t>FI de Índices Renda Fixa - Art. 7º, III, Alínea “b”</w:t>
            </w:r>
          </w:p>
        </w:tc>
        <w:tc>
          <w:tcPr>
            <w:tcW w:w="1120" w:type="dxa"/>
            <w:tcBorders>
              <w:top w:val="nil"/>
              <w:left w:val="single" w:sz="8" w:space="0" w:color="auto"/>
              <w:bottom w:val="single" w:sz="4" w:space="0" w:color="auto"/>
              <w:right w:val="single" w:sz="4" w:space="0" w:color="auto"/>
            </w:tcBorders>
            <w:shd w:val="clear" w:color="000000" w:fill="F2F2F2"/>
            <w:noWrap/>
            <w:vAlign w:val="center"/>
            <w:hideMark/>
          </w:tcPr>
          <w:p w:rsidR="00B50219" w:rsidRPr="0098062C" w:rsidRDefault="00B50219" w:rsidP="00B6079F">
            <w:pPr>
              <w:jc w:val="center"/>
              <w:rPr>
                <w:rFonts w:ascii="Calibri" w:hAnsi="Calibri"/>
                <w:color w:val="000000"/>
                <w:sz w:val="16"/>
                <w:szCs w:val="16"/>
              </w:rPr>
            </w:pPr>
            <w:r w:rsidRPr="0098062C">
              <w:rPr>
                <w:rFonts w:ascii="Calibri" w:hAnsi="Calibri"/>
                <w:color w:val="000000"/>
                <w:sz w:val="16"/>
                <w:szCs w:val="16"/>
              </w:rPr>
              <w:t>0,00%</w:t>
            </w:r>
          </w:p>
        </w:tc>
        <w:tc>
          <w:tcPr>
            <w:tcW w:w="1120" w:type="dxa"/>
            <w:tcBorders>
              <w:top w:val="nil"/>
              <w:left w:val="nil"/>
              <w:bottom w:val="single" w:sz="4" w:space="0" w:color="auto"/>
              <w:right w:val="single" w:sz="4" w:space="0" w:color="auto"/>
            </w:tcBorders>
            <w:shd w:val="clear" w:color="000000" w:fill="F2F2F2"/>
            <w:noWrap/>
            <w:vAlign w:val="center"/>
            <w:hideMark/>
          </w:tcPr>
          <w:p w:rsidR="00B50219" w:rsidRPr="0098062C" w:rsidRDefault="00B50219" w:rsidP="00B6079F">
            <w:pPr>
              <w:jc w:val="center"/>
              <w:rPr>
                <w:rFonts w:ascii="Calibri" w:hAnsi="Calibri"/>
                <w:color w:val="000000"/>
                <w:sz w:val="16"/>
                <w:szCs w:val="16"/>
              </w:rPr>
            </w:pPr>
            <w:r w:rsidRPr="0098062C">
              <w:rPr>
                <w:rFonts w:ascii="Calibri" w:hAnsi="Calibri"/>
                <w:color w:val="000000"/>
                <w:sz w:val="16"/>
                <w:szCs w:val="16"/>
              </w:rPr>
              <w:t>0,00%</w:t>
            </w:r>
          </w:p>
        </w:tc>
        <w:tc>
          <w:tcPr>
            <w:tcW w:w="1120" w:type="dxa"/>
            <w:tcBorders>
              <w:top w:val="nil"/>
              <w:left w:val="nil"/>
              <w:bottom w:val="single" w:sz="4" w:space="0" w:color="auto"/>
              <w:right w:val="single" w:sz="8" w:space="0" w:color="auto"/>
            </w:tcBorders>
            <w:shd w:val="clear" w:color="000000" w:fill="F2F2F2"/>
            <w:noWrap/>
            <w:vAlign w:val="center"/>
            <w:hideMark/>
          </w:tcPr>
          <w:p w:rsidR="00B50219" w:rsidRPr="0098062C" w:rsidRDefault="00B50219" w:rsidP="00B6079F">
            <w:pPr>
              <w:jc w:val="center"/>
              <w:rPr>
                <w:rFonts w:ascii="Calibri" w:hAnsi="Calibri"/>
                <w:color w:val="000000"/>
                <w:sz w:val="16"/>
                <w:szCs w:val="16"/>
              </w:rPr>
            </w:pPr>
            <w:r w:rsidRPr="0098062C">
              <w:rPr>
                <w:rFonts w:ascii="Calibri" w:hAnsi="Calibri"/>
                <w:color w:val="000000"/>
                <w:sz w:val="16"/>
                <w:szCs w:val="16"/>
              </w:rPr>
              <w:t>0,00%</w:t>
            </w:r>
          </w:p>
        </w:tc>
      </w:tr>
      <w:tr w:rsidR="00B50219" w:rsidRPr="0098062C" w:rsidTr="00B6079F">
        <w:trPr>
          <w:trHeight w:val="300"/>
        </w:trPr>
        <w:tc>
          <w:tcPr>
            <w:tcW w:w="820" w:type="dxa"/>
            <w:vMerge/>
            <w:tcBorders>
              <w:top w:val="nil"/>
              <w:left w:val="single" w:sz="8" w:space="0" w:color="auto"/>
              <w:bottom w:val="single" w:sz="8" w:space="0" w:color="000000"/>
              <w:right w:val="single" w:sz="8" w:space="0" w:color="auto"/>
            </w:tcBorders>
            <w:vAlign w:val="center"/>
            <w:hideMark/>
          </w:tcPr>
          <w:p w:rsidR="00B50219" w:rsidRPr="0098062C" w:rsidRDefault="00B50219" w:rsidP="00B6079F">
            <w:pPr>
              <w:rPr>
                <w:rFonts w:ascii="Calibri" w:hAnsi="Calibri"/>
                <w:b/>
                <w:bCs/>
                <w:color w:val="000000"/>
                <w:sz w:val="16"/>
                <w:szCs w:val="16"/>
              </w:rPr>
            </w:pPr>
          </w:p>
        </w:tc>
        <w:tc>
          <w:tcPr>
            <w:tcW w:w="4720" w:type="dxa"/>
            <w:tcBorders>
              <w:top w:val="nil"/>
              <w:left w:val="nil"/>
              <w:bottom w:val="single" w:sz="4" w:space="0" w:color="auto"/>
              <w:right w:val="single" w:sz="4" w:space="0" w:color="auto"/>
            </w:tcBorders>
            <w:shd w:val="clear" w:color="auto" w:fill="auto"/>
            <w:noWrap/>
            <w:vAlign w:val="bottom"/>
            <w:hideMark/>
          </w:tcPr>
          <w:p w:rsidR="00B50219" w:rsidRPr="0098062C" w:rsidRDefault="00B50219" w:rsidP="00B6079F">
            <w:pPr>
              <w:rPr>
                <w:rFonts w:ascii="Calibri" w:hAnsi="Calibri"/>
                <w:color w:val="000000"/>
                <w:sz w:val="16"/>
                <w:szCs w:val="16"/>
              </w:rPr>
            </w:pPr>
            <w:r w:rsidRPr="0098062C">
              <w:rPr>
                <w:rFonts w:ascii="Calibri" w:hAnsi="Calibri"/>
                <w:color w:val="000000"/>
                <w:sz w:val="16"/>
                <w:szCs w:val="16"/>
              </w:rPr>
              <w:t>FI de Renda Fixa - Art. 7º, IV, Alínea “a”</w:t>
            </w:r>
          </w:p>
        </w:tc>
        <w:tc>
          <w:tcPr>
            <w:tcW w:w="1120" w:type="dxa"/>
            <w:tcBorders>
              <w:top w:val="nil"/>
              <w:left w:val="single" w:sz="8" w:space="0" w:color="auto"/>
              <w:bottom w:val="single" w:sz="4" w:space="0" w:color="auto"/>
              <w:right w:val="single" w:sz="4" w:space="0" w:color="auto"/>
            </w:tcBorders>
            <w:shd w:val="clear" w:color="000000" w:fill="F2F2F2"/>
            <w:noWrap/>
            <w:vAlign w:val="center"/>
            <w:hideMark/>
          </w:tcPr>
          <w:p w:rsidR="00B50219" w:rsidRPr="0098062C" w:rsidRDefault="00B50219" w:rsidP="00B6079F">
            <w:pPr>
              <w:jc w:val="center"/>
              <w:rPr>
                <w:rFonts w:ascii="Calibri" w:hAnsi="Calibri"/>
                <w:color w:val="000000"/>
                <w:sz w:val="16"/>
                <w:szCs w:val="16"/>
              </w:rPr>
            </w:pPr>
            <w:r w:rsidRPr="0098062C">
              <w:rPr>
                <w:rFonts w:ascii="Calibri" w:hAnsi="Calibri"/>
                <w:color w:val="000000"/>
                <w:sz w:val="16"/>
                <w:szCs w:val="16"/>
              </w:rPr>
              <w:t>5,00%</w:t>
            </w:r>
          </w:p>
        </w:tc>
        <w:tc>
          <w:tcPr>
            <w:tcW w:w="1120" w:type="dxa"/>
            <w:tcBorders>
              <w:top w:val="nil"/>
              <w:left w:val="nil"/>
              <w:bottom w:val="single" w:sz="4" w:space="0" w:color="auto"/>
              <w:right w:val="single" w:sz="4" w:space="0" w:color="auto"/>
            </w:tcBorders>
            <w:shd w:val="clear" w:color="000000" w:fill="F2F2F2"/>
            <w:noWrap/>
            <w:vAlign w:val="center"/>
            <w:hideMark/>
          </w:tcPr>
          <w:p w:rsidR="00B50219" w:rsidRPr="0098062C" w:rsidRDefault="00B50219" w:rsidP="00B6079F">
            <w:pPr>
              <w:jc w:val="center"/>
              <w:rPr>
                <w:rFonts w:ascii="Calibri" w:hAnsi="Calibri"/>
                <w:color w:val="000000"/>
                <w:sz w:val="16"/>
                <w:szCs w:val="16"/>
              </w:rPr>
            </w:pPr>
            <w:r w:rsidRPr="0098062C">
              <w:rPr>
                <w:rFonts w:ascii="Calibri" w:hAnsi="Calibri"/>
                <w:color w:val="000000"/>
                <w:sz w:val="16"/>
                <w:szCs w:val="16"/>
              </w:rPr>
              <w:t>10,00%</w:t>
            </w:r>
          </w:p>
        </w:tc>
        <w:tc>
          <w:tcPr>
            <w:tcW w:w="1120" w:type="dxa"/>
            <w:tcBorders>
              <w:top w:val="nil"/>
              <w:left w:val="nil"/>
              <w:bottom w:val="single" w:sz="4" w:space="0" w:color="auto"/>
              <w:right w:val="single" w:sz="8" w:space="0" w:color="auto"/>
            </w:tcBorders>
            <w:shd w:val="clear" w:color="000000" w:fill="F2F2F2"/>
            <w:noWrap/>
            <w:vAlign w:val="center"/>
            <w:hideMark/>
          </w:tcPr>
          <w:p w:rsidR="00B50219" w:rsidRPr="0098062C" w:rsidRDefault="00B50219" w:rsidP="00B6079F">
            <w:pPr>
              <w:jc w:val="center"/>
              <w:rPr>
                <w:rFonts w:ascii="Calibri" w:hAnsi="Calibri"/>
                <w:color w:val="000000"/>
                <w:sz w:val="16"/>
                <w:szCs w:val="16"/>
              </w:rPr>
            </w:pPr>
            <w:r>
              <w:rPr>
                <w:rFonts w:ascii="Calibri" w:hAnsi="Calibri"/>
                <w:color w:val="000000"/>
                <w:sz w:val="16"/>
                <w:szCs w:val="16"/>
              </w:rPr>
              <w:t>30</w:t>
            </w:r>
            <w:r w:rsidRPr="0098062C">
              <w:rPr>
                <w:rFonts w:ascii="Calibri" w:hAnsi="Calibri"/>
                <w:color w:val="000000"/>
                <w:sz w:val="16"/>
                <w:szCs w:val="16"/>
              </w:rPr>
              <w:t>,00%</w:t>
            </w:r>
          </w:p>
        </w:tc>
      </w:tr>
      <w:tr w:rsidR="00B50219" w:rsidRPr="0098062C" w:rsidTr="00B6079F">
        <w:trPr>
          <w:trHeight w:val="300"/>
        </w:trPr>
        <w:tc>
          <w:tcPr>
            <w:tcW w:w="820" w:type="dxa"/>
            <w:vMerge/>
            <w:tcBorders>
              <w:top w:val="nil"/>
              <w:left w:val="single" w:sz="8" w:space="0" w:color="auto"/>
              <w:bottom w:val="single" w:sz="8" w:space="0" w:color="000000"/>
              <w:right w:val="single" w:sz="8" w:space="0" w:color="auto"/>
            </w:tcBorders>
            <w:vAlign w:val="center"/>
            <w:hideMark/>
          </w:tcPr>
          <w:p w:rsidR="00B50219" w:rsidRPr="0098062C" w:rsidRDefault="00B50219" w:rsidP="00B6079F">
            <w:pPr>
              <w:rPr>
                <w:rFonts w:ascii="Calibri" w:hAnsi="Calibri"/>
                <w:b/>
                <w:bCs/>
                <w:color w:val="000000"/>
                <w:sz w:val="16"/>
                <w:szCs w:val="16"/>
              </w:rPr>
            </w:pPr>
          </w:p>
        </w:tc>
        <w:tc>
          <w:tcPr>
            <w:tcW w:w="4720" w:type="dxa"/>
            <w:tcBorders>
              <w:top w:val="nil"/>
              <w:left w:val="nil"/>
              <w:bottom w:val="single" w:sz="4" w:space="0" w:color="auto"/>
              <w:right w:val="single" w:sz="4" w:space="0" w:color="auto"/>
            </w:tcBorders>
            <w:shd w:val="clear" w:color="auto" w:fill="auto"/>
            <w:noWrap/>
            <w:vAlign w:val="bottom"/>
            <w:hideMark/>
          </w:tcPr>
          <w:p w:rsidR="00B50219" w:rsidRPr="0098062C" w:rsidRDefault="00B50219" w:rsidP="00B6079F">
            <w:pPr>
              <w:rPr>
                <w:rFonts w:ascii="Calibri" w:hAnsi="Calibri"/>
                <w:color w:val="000000"/>
                <w:sz w:val="16"/>
                <w:szCs w:val="16"/>
              </w:rPr>
            </w:pPr>
            <w:r w:rsidRPr="0098062C">
              <w:rPr>
                <w:rFonts w:ascii="Calibri" w:hAnsi="Calibri"/>
                <w:color w:val="000000"/>
                <w:sz w:val="16"/>
                <w:szCs w:val="16"/>
              </w:rPr>
              <w:t>FI de Índices Renda Fixa - Art. 7º, IV, Alínea “b”</w:t>
            </w:r>
          </w:p>
        </w:tc>
        <w:tc>
          <w:tcPr>
            <w:tcW w:w="1120" w:type="dxa"/>
            <w:tcBorders>
              <w:top w:val="nil"/>
              <w:left w:val="single" w:sz="8" w:space="0" w:color="auto"/>
              <w:bottom w:val="single" w:sz="4" w:space="0" w:color="auto"/>
              <w:right w:val="single" w:sz="4" w:space="0" w:color="auto"/>
            </w:tcBorders>
            <w:shd w:val="clear" w:color="000000" w:fill="F2F2F2"/>
            <w:noWrap/>
            <w:vAlign w:val="center"/>
            <w:hideMark/>
          </w:tcPr>
          <w:p w:rsidR="00B50219" w:rsidRPr="0098062C" w:rsidRDefault="00B50219" w:rsidP="00B6079F">
            <w:pPr>
              <w:jc w:val="center"/>
              <w:rPr>
                <w:rFonts w:ascii="Calibri" w:hAnsi="Calibri"/>
                <w:color w:val="000000"/>
                <w:sz w:val="16"/>
                <w:szCs w:val="16"/>
              </w:rPr>
            </w:pPr>
            <w:r w:rsidRPr="0098062C">
              <w:rPr>
                <w:rFonts w:ascii="Calibri" w:hAnsi="Calibri"/>
                <w:color w:val="000000"/>
                <w:sz w:val="16"/>
                <w:szCs w:val="16"/>
              </w:rPr>
              <w:t>0,00%</w:t>
            </w:r>
          </w:p>
        </w:tc>
        <w:tc>
          <w:tcPr>
            <w:tcW w:w="1120" w:type="dxa"/>
            <w:tcBorders>
              <w:top w:val="nil"/>
              <w:left w:val="nil"/>
              <w:bottom w:val="single" w:sz="4" w:space="0" w:color="auto"/>
              <w:right w:val="single" w:sz="4" w:space="0" w:color="auto"/>
            </w:tcBorders>
            <w:shd w:val="clear" w:color="000000" w:fill="F2F2F2"/>
            <w:noWrap/>
            <w:vAlign w:val="center"/>
            <w:hideMark/>
          </w:tcPr>
          <w:p w:rsidR="00B50219" w:rsidRPr="0098062C" w:rsidRDefault="00B50219" w:rsidP="00B6079F">
            <w:pPr>
              <w:jc w:val="center"/>
              <w:rPr>
                <w:rFonts w:ascii="Calibri" w:hAnsi="Calibri"/>
                <w:color w:val="000000"/>
                <w:sz w:val="16"/>
                <w:szCs w:val="16"/>
              </w:rPr>
            </w:pPr>
            <w:r w:rsidRPr="0098062C">
              <w:rPr>
                <w:rFonts w:ascii="Calibri" w:hAnsi="Calibri"/>
                <w:color w:val="000000"/>
                <w:sz w:val="16"/>
                <w:szCs w:val="16"/>
              </w:rPr>
              <w:t>0,00%</w:t>
            </w:r>
          </w:p>
        </w:tc>
        <w:tc>
          <w:tcPr>
            <w:tcW w:w="1120" w:type="dxa"/>
            <w:tcBorders>
              <w:top w:val="nil"/>
              <w:left w:val="nil"/>
              <w:bottom w:val="single" w:sz="4" w:space="0" w:color="auto"/>
              <w:right w:val="single" w:sz="8" w:space="0" w:color="auto"/>
            </w:tcBorders>
            <w:shd w:val="clear" w:color="000000" w:fill="F2F2F2"/>
            <w:noWrap/>
            <w:vAlign w:val="center"/>
            <w:hideMark/>
          </w:tcPr>
          <w:p w:rsidR="00B50219" w:rsidRPr="0098062C" w:rsidRDefault="00B50219" w:rsidP="00B6079F">
            <w:pPr>
              <w:jc w:val="center"/>
              <w:rPr>
                <w:rFonts w:ascii="Calibri" w:hAnsi="Calibri"/>
                <w:color w:val="000000"/>
                <w:sz w:val="16"/>
                <w:szCs w:val="16"/>
              </w:rPr>
            </w:pPr>
            <w:r w:rsidRPr="0098062C">
              <w:rPr>
                <w:rFonts w:ascii="Calibri" w:hAnsi="Calibri"/>
                <w:color w:val="000000"/>
                <w:sz w:val="16"/>
                <w:szCs w:val="16"/>
              </w:rPr>
              <w:t>0,00%</w:t>
            </w:r>
          </w:p>
        </w:tc>
      </w:tr>
      <w:tr w:rsidR="00B50219" w:rsidRPr="0098062C" w:rsidTr="00B6079F">
        <w:trPr>
          <w:trHeight w:val="300"/>
        </w:trPr>
        <w:tc>
          <w:tcPr>
            <w:tcW w:w="820" w:type="dxa"/>
            <w:vMerge/>
            <w:tcBorders>
              <w:top w:val="nil"/>
              <w:left w:val="single" w:sz="8" w:space="0" w:color="auto"/>
              <w:bottom w:val="single" w:sz="8" w:space="0" w:color="000000"/>
              <w:right w:val="single" w:sz="8" w:space="0" w:color="auto"/>
            </w:tcBorders>
            <w:vAlign w:val="center"/>
            <w:hideMark/>
          </w:tcPr>
          <w:p w:rsidR="00B50219" w:rsidRPr="0098062C" w:rsidRDefault="00B50219" w:rsidP="00B6079F">
            <w:pPr>
              <w:rPr>
                <w:rFonts w:ascii="Calibri" w:hAnsi="Calibri"/>
                <w:b/>
                <w:bCs/>
                <w:color w:val="000000"/>
                <w:sz w:val="16"/>
                <w:szCs w:val="16"/>
              </w:rPr>
            </w:pPr>
          </w:p>
        </w:tc>
        <w:tc>
          <w:tcPr>
            <w:tcW w:w="4720" w:type="dxa"/>
            <w:tcBorders>
              <w:top w:val="nil"/>
              <w:left w:val="nil"/>
              <w:bottom w:val="single" w:sz="4" w:space="0" w:color="auto"/>
              <w:right w:val="single" w:sz="4" w:space="0" w:color="auto"/>
            </w:tcBorders>
            <w:shd w:val="clear" w:color="auto" w:fill="auto"/>
            <w:noWrap/>
            <w:vAlign w:val="bottom"/>
            <w:hideMark/>
          </w:tcPr>
          <w:p w:rsidR="00B50219" w:rsidRPr="0098062C" w:rsidRDefault="00B50219" w:rsidP="00B6079F">
            <w:pPr>
              <w:rPr>
                <w:rFonts w:ascii="Calibri" w:hAnsi="Calibri"/>
                <w:color w:val="000000"/>
                <w:sz w:val="16"/>
                <w:szCs w:val="16"/>
              </w:rPr>
            </w:pPr>
            <w:r w:rsidRPr="0098062C">
              <w:rPr>
                <w:rFonts w:ascii="Calibri" w:hAnsi="Calibri"/>
                <w:color w:val="000000"/>
                <w:sz w:val="16"/>
                <w:szCs w:val="16"/>
              </w:rPr>
              <w:t>Poupança - Art. 7º, V, Alínea “a”</w:t>
            </w:r>
          </w:p>
        </w:tc>
        <w:tc>
          <w:tcPr>
            <w:tcW w:w="1120" w:type="dxa"/>
            <w:tcBorders>
              <w:top w:val="nil"/>
              <w:left w:val="single" w:sz="8" w:space="0" w:color="auto"/>
              <w:bottom w:val="single" w:sz="4" w:space="0" w:color="auto"/>
              <w:right w:val="single" w:sz="4" w:space="0" w:color="auto"/>
            </w:tcBorders>
            <w:shd w:val="clear" w:color="000000" w:fill="F2F2F2"/>
            <w:noWrap/>
            <w:vAlign w:val="center"/>
            <w:hideMark/>
          </w:tcPr>
          <w:p w:rsidR="00B50219" w:rsidRPr="0098062C" w:rsidRDefault="00B50219" w:rsidP="00B6079F">
            <w:pPr>
              <w:jc w:val="center"/>
              <w:rPr>
                <w:rFonts w:ascii="Calibri" w:hAnsi="Calibri"/>
                <w:color w:val="000000"/>
                <w:sz w:val="16"/>
                <w:szCs w:val="16"/>
              </w:rPr>
            </w:pPr>
            <w:r w:rsidRPr="0098062C">
              <w:rPr>
                <w:rFonts w:ascii="Calibri" w:hAnsi="Calibri"/>
                <w:color w:val="000000"/>
                <w:sz w:val="16"/>
                <w:szCs w:val="16"/>
              </w:rPr>
              <w:t>0,00%</w:t>
            </w:r>
          </w:p>
        </w:tc>
        <w:tc>
          <w:tcPr>
            <w:tcW w:w="1120" w:type="dxa"/>
            <w:tcBorders>
              <w:top w:val="nil"/>
              <w:left w:val="nil"/>
              <w:bottom w:val="single" w:sz="4" w:space="0" w:color="auto"/>
              <w:right w:val="single" w:sz="4" w:space="0" w:color="auto"/>
            </w:tcBorders>
            <w:shd w:val="clear" w:color="000000" w:fill="F2F2F2"/>
            <w:noWrap/>
            <w:vAlign w:val="center"/>
            <w:hideMark/>
          </w:tcPr>
          <w:p w:rsidR="00B50219" w:rsidRPr="0098062C" w:rsidRDefault="00B50219" w:rsidP="00B6079F">
            <w:pPr>
              <w:jc w:val="center"/>
              <w:rPr>
                <w:rFonts w:ascii="Calibri" w:hAnsi="Calibri"/>
                <w:color w:val="000000"/>
                <w:sz w:val="16"/>
                <w:szCs w:val="16"/>
              </w:rPr>
            </w:pPr>
            <w:r w:rsidRPr="0098062C">
              <w:rPr>
                <w:rFonts w:ascii="Calibri" w:hAnsi="Calibri"/>
                <w:color w:val="000000"/>
                <w:sz w:val="16"/>
                <w:szCs w:val="16"/>
              </w:rPr>
              <w:t>0,00%</w:t>
            </w:r>
          </w:p>
        </w:tc>
        <w:tc>
          <w:tcPr>
            <w:tcW w:w="1120" w:type="dxa"/>
            <w:tcBorders>
              <w:top w:val="nil"/>
              <w:left w:val="nil"/>
              <w:bottom w:val="single" w:sz="4" w:space="0" w:color="auto"/>
              <w:right w:val="single" w:sz="8" w:space="0" w:color="auto"/>
            </w:tcBorders>
            <w:shd w:val="clear" w:color="000000" w:fill="F2F2F2"/>
            <w:noWrap/>
            <w:vAlign w:val="center"/>
            <w:hideMark/>
          </w:tcPr>
          <w:p w:rsidR="00B50219" w:rsidRPr="0098062C" w:rsidRDefault="00B50219" w:rsidP="00B6079F">
            <w:pPr>
              <w:jc w:val="center"/>
              <w:rPr>
                <w:rFonts w:ascii="Calibri" w:hAnsi="Calibri"/>
                <w:color w:val="000000"/>
                <w:sz w:val="16"/>
                <w:szCs w:val="16"/>
              </w:rPr>
            </w:pPr>
            <w:r w:rsidRPr="0098062C">
              <w:rPr>
                <w:rFonts w:ascii="Calibri" w:hAnsi="Calibri"/>
                <w:color w:val="000000"/>
                <w:sz w:val="16"/>
                <w:szCs w:val="16"/>
              </w:rPr>
              <w:t>0,00%</w:t>
            </w:r>
          </w:p>
        </w:tc>
      </w:tr>
      <w:tr w:rsidR="00B50219" w:rsidRPr="0098062C" w:rsidTr="00B6079F">
        <w:trPr>
          <w:trHeight w:val="300"/>
        </w:trPr>
        <w:tc>
          <w:tcPr>
            <w:tcW w:w="820" w:type="dxa"/>
            <w:vMerge/>
            <w:tcBorders>
              <w:top w:val="nil"/>
              <w:left w:val="single" w:sz="8" w:space="0" w:color="auto"/>
              <w:bottom w:val="single" w:sz="8" w:space="0" w:color="000000"/>
              <w:right w:val="single" w:sz="8" w:space="0" w:color="auto"/>
            </w:tcBorders>
            <w:vAlign w:val="center"/>
            <w:hideMark/>
          </w:tcPr>
          <w:p w:rsidR="00B50219" w:rsidRPr="0098062C" w:rsidRDefault="00B50219" w:rsidP="00B6079F">
            <w:pPr>
              <w:rPr>
                <w:rFonts w:ascii="Calibri" w:hAnsi="Calibri"/>
                <w:b/>
                <w:bCs/>
                <w:color w:val="000000"/>
                <w:sz w:val="16"/>
                <w:szCs w:val="16"/>
              </w:rPr>
            </w:pPr>
          </w:p>
        </w:tc>
        <w:tc>
          <w:tcPr>
            <w:tcW w:w="4720" w:type="dxa"/>
            <w:tcBorders>
              <w:top w:val="nil"/>
              <w:left w:val="nil"/>
              <w:bottom w:val="single" w:sz="4" w:space="0" w:color="auto"/>
              <w:right w:val="single" w:sz="4" w:space="0" w:color="auto"/>
            </w:tcBorders>
            <w:shd w:val="clear" w:color="auto" w:fill="auto"/>
            <w:noWrap/>
            <w:vAlign w:val="bottom"/>
            <w:hideMark/>
          </w:tcPr>
          <w:p w:rsidR="00B50219" w:rsidRPr="0098062C" w:rsidRDefault="00B50219" w:rsidP="00B6079F">
            <w:pPr>
              <w:rPr>
                <w:rFonts w:ascii="Calibri" w:hAnsi="Calibri"/>
                <w:color w:val="000000"/>
                <w:sz w:val="16"/>
                <w:szCs w:val="16"/>
              </w:rPr>
            </w:pPr>
            <w:r w:rsidRPr="0098062C">
              <w:rPr>
                <w:rFonts w:ascii="Calibri" w:hAnsi="Calibri"/>
                <w:color w:val="000000"/>
                <w:sz w:val="16"/>
                <w:szCs w:val="16"/>
              </w:rPr>
              <w:t>Letras Imobiliárias Garantidas- Art. 7º, V, Alínea “a”</w:t>
            </w:r>
          </w:p>
        </w:tc>
        <w:tc>
          <w:tcPr>
            <w:tcW w:w="1120" w:type="dxa"/>
            <w:tcBorders>
              <w:top w:val="nil"/>
              <w:left w:val="single" w:sz="8" w:space="0" w:color="auto"/>
              <w:bottom w:val="single" w:sz="4" w:space="0" w:color="auto"/>
              <w:right w:val="single" w:sz="4" w:space="0" w:color="auto"/>
            </w:tcBorders>
            <w:shd w:val="clear" w:color="000000" w:fill="F2F2F2"/>
            <w:noWrap/>
            <w:vAlign w:val="center"/>
            <w:hideMark/>
          </w:tcPr>
          <w:p w:rsidR="00B50219" w:rsidRPr="0098062C" w:rsidRDefault="00B50219" w:rsidP="00B6079F">
            <w:pPr>
              <w:jc w:val="center"/>
              <w:rPr>
                <w:rFonts w:ascii="Calibri" w:hAnsi="Calibri"/>
                <w:color w:val="000000"/>
                <w:sz w:val="16"/>
                <w:szCs w:val="16"/>
              </w:rPr>
            </w:pPr>
            <w:r w:rsidRPr="0098062C">
              <w:rPr>
                <w:rFonts w:ascii="Calibri" w:hAnsi="Calibri"/>
                <w:color w:val="000000"/>
                <w:sz w:val="16"/>
                <w:szCs w:val="16"/>
              </w:rPr>
              <w:t>0,00%</w:t>
            </w:r>
          </w:p>
        </w:tc>
        <w:tc>
          <w:tcPr>
            <w:tcW w:w="1120" w:type="dxa"/>
            <w:tcBorders>
              <w:top w:val="nil"/>
              <w:left w:val="nil"/>
              <w:bottom w:val="single" w:sz="4" w:space="0" w:color="auto"/>
              <w:right w:val="single" w:sz="4" w:space="0" w:color="auto"/>
            </w:tcBorders>
            <w:shd w:val="clear" w:color="000000" w:fill="F2F2F2"/>
            <w:noWrap/>
            <w:vAlign w:val="center"/>
            <w:hideMark/>
          </w:tcPr>
          <w:p w:rsidR="00B50219" w:rsidRPr="0098062C" w:rsidRDefault="00B50219" w:rsidP="00B6079F">
            <w:pPr>
              <w:jc w:val="center"/>
              <w:rPr>
                <w:rFonts w:ascii="Calibri" w:hAnsi="Calibri"/>
                <w:color w:val="000000"/>
                <w:sz w:val="16"/>
                <w:szCs w:val="16"/>
              </w:rPr>
            </w:pPr>
            <w:r w:rsidRPr="0098062C">
              <w:rPr>
                <w:rFonts w:ascii="Calibri" w:hAnsi="Calibri"/>
                <w:color w:val="000000"/>
                <w:sz w:val="16"/>
                <w:szCs w:val="16"/>
              </w:rPr>
              <w:t>0,00%</w:t>
            </w:r>
          </w:p>
        </w:tc>
        <w:tc>
          <w:tcPr>
            <w:tcW w:w="1120" w:type="dxa"/>
            <w:tcBorders>
              <w:top w:val="nil"/>
              <w:left w:val="nil"/>
              <w:bottom w:val="single" w:sz="4" w:space="0" w:color="auto"/>
              <w:right w:val="single" w:sz="8" w:space="0" w:color="auto"/>
            </w:tcBorders>
            <w:shd w:val="clear" w:color="000000" w:fill="F2F2F2"/>
            <w:noWrap/>
            <w:vAlign w:val="center"/>
            <w:hideMark/>
          </w:tcPr>
          <w:p w:rsidR="00B50219" w:rsidRPr="0098062C" w:rsidRDefault="00B50219" w:rsidP="00B6079F">
            <w:pPr>
              <w:jc w:val="center"/>
              <w:rPr>
                <w:rFonts w:ascii="Calibri" w:hAnsi="Calibri"/>
                <w:color w:val="000000"/>
                <w:sz w:val="16"/>
                <w:szCs w:val="16"/>
              </w:rPr>
            </w:pPr>
            <w:r w:rsidRPr="0098062C">
              <w:rPr>
                <w:rFonts w:ascii="Calibri" w:hAnsi="Calibri"/>
                <w:color w:val="000000"/>
                <w:sz w:val="16"/>
                <w:szCs w:val="16"/>
              </w:rPr>
              <w:t>0,00%</w:t>
            </w:r>
          </w:p>
        </w:tc>
      </w:tr>
      <w:tr w:rsidR="00B50219" w:rsidRPr="0098062C" w:rsidTr="00B6079F">
        <w:trPr>
          <w:trHeight w:val="300"/>
        </w:trPr>
        <w:tc>
          <w:tcPr>
            <w:tcW w:w="820" w:type="dxa"/>
            <w:vMerge/>
            <w:tcBorders>
              <w:top w:val="nil"/>
              <w:left w:val="single" w:sz="8" w:space="0" w:color="auto"/>
              <w:bottom w:val="single" w:sz="8" w:space="0" w:color="000000"/>
              <w:right w:val="single" w:sz="8" w:space="0" w:color="auto"/>
            </w:tcBorders>
            <w:vAlign w:val="center"/>
            <w:hideMark/>
          </w:tcPr>
          <w:p w:rsidR="00B50219" w:rsidRPr="0098062C" w:rsidRDefault="00B50219" w:rsidP="00B6079F">
            <w:pPr>
              <w:rPr>
                <w:rFonts w:ascii="Calibri" w:hAnsi="Calibri"/>
                <w:b/>
                <w:bCs/>
                <w:color w:val="000000"/>
                <w:sz w:val="16"/>
                <w:szCs w:val="16"/>
              </w:rPr>
            </w:pPr>
          </w:p>
        </w:tc>
        <w:tc>
          <w:tcPr>
            <w:tcW w:w="4720" w:type="dxa"/>
            <w:tcBorders>
              <w:top w:val="nil"/>
              <w:left w:val="nil"/>
              <w:bottom w:val="single" w:sz="4" w:space="0" w:color="auto"/>
              <w:right w:val="single" w:sz="4" w:space="0" w:color="auto"/>
            </w:tcBorders>
            <w:shd w:val="clear" w:color="auto" w:fill="auto"/>
            <w:noWrap/>
            <w:vAlign w:val="bottom"/>
            <w:hideMark/>
          </w:tcPr>
          <w:p w:rsidR="00B50219" w:rsidRPr="0098062C" w:rsidRDefault="00B50219" w:rsidP="00B6079F">
            <w:pPr>
              <w:rPr>
                <w:rFonts w:ascii="Calibri" w:hAnsi="Calibri"/>
                <w:color w:val="000000"/>
                <w:sz w:val="16"/>
                <w:szCs w:val="16"/>
              </w:rPr>
            </w:pPr>
            <w:r w:rsidRPr="0098062C">
              <w:rPr>
                <w:rFonts w:ascii="Calibri" w:hAnsi="Calibri"/>
                <w:color w:val="000000"/>
                <w:sz w:val="16"/>
                <w:szCs w:val="16"/>
              </w:rPr>
              <w:t>FI em Direitos Creditórios - aberto - sênior Art. 7º, VI.</w:t>
            </w:r>
          </w:p>
        </w:tc>
        <w:tc>
          <w:tcPr>
            <w:tcW w:w="1120" w:type="dxa"/>
            <w:tcBorders>
              <w:top w:val="nil"/>
              <w:left w:val="single" w:sz="8" w:space="0" w:color="auto"/>
              <w:bottom w:val="single" w:sz="4" w:space="0" w:color="auto"/>
              <w:right w:val="single" w:sz="4" w:space="0" w:color="auto"/>
            </w:tcBorders>
            <w:shd w:val="clear" w:color="000000" w:fill="F2F2F2"/>
            <w:noWrap/>
            <w:vAlign w:val="center"/>
            <w:hideMark/>
          </w:tcPr>
          <w:p w:rsidR="00B50219" w:rsidRPr="0098062C" w:rsidRDefault="00B50219" w:rsidP="00B6079F">
            <w:pPr>
              <w:jc w:val="center"/>
              <w:rPr>
                <w:rFonts w:ascii="Calibri" w:hAnsi="Calibri"/>
                <w:color w:val="000000"/>
                <w:sz w:val="16"/>
                <w:szCs w:val="16"/>
              </w:rPr>
            </w:pPr>
            <w:r w:rsidRPr="0098062C">
              <w:rPr>
                <w:rFonts w:ascii="Calibri" w:hAnsi="Calibri"/>
                <w:color w:val="000000"/>
                <w:sz w:val="16"/>
                <w:szCs w:val="16"/>
              </w:rPr>
              <w:t>5,00%</w:t>
            </w:r>
          </w:p>
        </w:tc>
        <w:tc>
          <w:tcPr>
            <w:tcW w:w="1120" w:type="dxa"/>
            <w:tcBorders>
              <w:top w:val="nil"/>
              <w:left w:val="nil"/>
              <w:bottom w:val="single" w:sz="4" w:space="0" w:color="auto"/>
              <w:right w:val="single" w:sz="4" w:space="0" w:color="auto"/>
            </w:tcBorders>
            <w:shd w:val="clear" w:color="000000" w:fill="F2F2F2"/>
            <w:noWrap/>
            <w:vAlign w:val="center"/>
            <w:hideMark/>
          </w:tcPr>
          <w:p w:rsidR="00B50219" w:rsidRPr="0098062C" w:rsidRDefault="00B50219" w:rsidP="00B6079F">
            <w:pPr>
              <w:jc w:val="center"/>
              <w:rPr>
                <w:rFonts w:ascii="Calibri" w:hAnsi="Calibri"/>
                <w:color w:val="000000"/>
                <w:sz w:val="16"/>
                <w:szCs w:val="16"/>
              </w:rPr>
            </w:pPr>
            <w:r w:rsidRPr="0098062C">
              <w:rPr>
                <w:rFonts w:ascii="Calibri" w:hAnsi="Calibri"/>
                <w:color w:val="000000"/>
                <w:sz w:val="16"/>
                <w:szCs w:val="16"/>
              </w:rPr>
              <w:t>10,00%</w:t>
            </w:r>
          </w:p>
        </w:tc>
        <w:tc>
          <w:tcPr>
            <w:tcW w:w="1120" w:type="dxa"/>
            <w:tcBorders>
              <w:top w:val="nil"/>
              <w:left w:val="nil"/>
              <w:bottom w:val="single" w:sz="4" w:space="0" w:color="auto"/>
              <w:right w:val="single" w:sz="8" w:space="0" w:color="auto"/>
            </w:tcBorders>
            <w:shd w:val="clear" w:color="000000" w:fill="F2F2F2"/>
            <w:noWrap/>
            <w:vAlign w:val="center"/>
            <w:hideMark/>
          </w:tcPr>
          <w:p w:rsidR="00B50219" w:rsidRPr="0098062C" w:rsidRDefault="00B50219" w:rsidP="00B6079F">
            <w:pPr>
              <w:jc w:val="center"/>
              <w:rPr>
                <w:rFonts w:ascii="Calibri" w:hAnsi="Calibri"/>
                <w:color w:val="000000"/>
                <w:sz w:val="16"/>
                <w:szCs w:val="16"/>
              </w:rPr>
            </w:pPr>
            <w:r w:rsidRPr="0098062C">
              <w:rPr>
                <w:rFonts w:ascii="Calibri" w:hAnsi="Calibri"/>
                <w:color w:val="000000"/>
                <w:sz w:val="16"/>
                <w:szCs w:val="16"/>
              </w:rPr>
              <w:t>15,00%</w:t>
            </w:r>
          </w:p>
        </w:tc>
      </w:tr>
      <w:tr w:rsidR="00B50219" w:rsidRPr="0098062C" w:rsidTr="00B6079F">
        <w:trPr>
          <w:trHeight w:val="300"/>
        </w:trPr>
        <w:tc>
          <w:tcPr>
            <w:tcW w:w="820" w:type="dxa"/>
            <w:vMerge/>
            <w:tcBorders>
              <w:top w:val="nil"/>
              <w:left w:val="single" w:sz="8" w:space="0" w:color="auto"/>
              <w:bottom w:val="single" w:sz="8" w:space="0" w:color="000000"/>
              <w:right w:val="single" w:sz="8" w:space="0" w:color="auto"/>
            </w:tcBorders>
            <w:vAlign w:val="center"/>
            <w:hideMark/>
          </w:tcPr>
          <w:p w:rsidR="00B50219" w:rsidRPr="0098062C" w:rsidRDefault="00B50219" w:rsidP="00B6079F">
            <w:pPr>
              <w:rPr>
                <w:rFonts w:ascii="Calibri" w:hAnsi="Calibri"/>
                <w:b/>
                <w:bCs/>
                <w:color w:val="000000"/>
                <w:sz w:val="16"/>
                <w:szCs w:val="16"/>
              </w:rPr>
            </w:pPr>
          </w:p>
        </w:tc>
        <w:tc>
          <w:tcPr>
            <w:tcW w:w="4720" w:type="dxa"/>
            <w:tcBorders>
              <w:top w:val="nil"/>
              <w:left w:val="nil"/>
              <w:bottom w:val="single" w:sz="4" w:space="0" w:color="auto"/>
              <w:right w:val="single" w:sz="4" w:space="0" w:color="auto"/>
            </w:tcBorders>
            <w:shd w:val="clear" w:color="auto" w:fill="auto"/>
            <w:noWrap/>
            <w:vAlign w:val="bottom"/>
            <w:hideMark/>
          </w:tcPr>
          <w:p w:rsidR="00B50219" w:rsidRPr="0098062C" w:rsidRDefault="00B50219" w:rsidP="00B6079F">
            <w:pPr>
              <w:rPr>
                <w:rFonts w:ascii="Calibri" w:hAnsi="Calibri"/>
                <w:color w:val="000000"/>
                <w:sz w:val="16"/>
                <w:szCs w:val="16"/>
              </w:rPr>
            </w:pPr>
            <w:r w:rsidRPr="0098062C">
              <w:rPr>
                <w:rFonts w:ascii="Calibri" w:hAnsi="Calibri"/>
                <w:color w:val="000000"/>
                <w:sz w:val="16"/>
                <w:szCs w:val="16"/>
              </w:rPr>
              <w:t>FI em Direitos Creditórios - aberto - subordinada Art. 7º, VI.</w:t>
            </w:r>
          </w:p>
        </w:tc>
        <w:tc>
          <w:tcPr>
            <w:tcW w:w="1120" w:type="dxa"/>
            <w:tcBorders>
              <w:top w:val="nil"/>
              <w:left w:val="single" w:sz="8" w:space="0" w:color="auto"/>
              <w:bottom w:val="single" w:sz="4" w:space="0" w:color="auto"/>
              <w:right w:val="single" w:sz="4" w:space="0" w:color="auto"/>
            </w:tcBorders>
            <w:shd w:val="clear" w:color="000000" w:fill="F2F2F2"/>
            <w:noWrap/>
            <w:vAlign w:val="center"/>
            <w:hideMark/>
          </w:tcPr>
          <w:p w:rsidR="00B50219" w:rsidRPr="0098062C" w:rsidRDefault="00B50219" w:rsidP="00B6079F">
            <w:pPr>
              <w:jc w:val="center"/>
              <w:rPr>
                <w:rFonts w:ascii="Calibri" w:hAnsi="Calibri"/>
                <w:color w:val="000000"/>
                <w:sz w:val="16"/>
                <w:szCs w:val="16"/>
              </w:rPr>
            </w:pPr>
            <w:r w:rsidRPr="0098062C">
              <w:rPr>
                <w:rFonts w:ascii="Calibri" w:hAnsi="Calibri"/>
                <w:color w:val="000000"/>
                <w:sz w:val="16"/>
                <w:szCs w:val="16"/>
              </w:rPr>
              <w:t>0,00%</w:t>
            </w:r>
          </w:p>
        </w:tc>
        <w:tc>
          <w:tcPr>
            <w:tcW w:w="1120" w:type="dxa"/>
            <w:tcBorders>
              <w:top w:val="nil"/>
              <w:left w:val="nil"/>
              <w:bottom w:val="single" w:sz="4" w:space="0" w:color="auto"/>
              <w:right w:val="single" w:sz="4" w:space="0" w:color="auto"/>
            </w:tcBorders>
            <w:shd w:val="clear" w:color="000000" w:fill="F2F2F2"/>
            <w:noWrap/>
            <w:vAlign w:val="center"/>
            <w:hideMark/>
          </w:tcPr>
          <w:p w:rsidR="00B50219" w:rsidRPr="0098062C" w:rsidRDefault="00B50219" w:rsidP="00B6079F">
            <w:pPr>
              <w:jc w:val="center"/>
              <w:rPr>
                <w:rFonts w:ascii="Calibri" w:hAnsi="Calibri"/>
                <w:color w:val="000000"/>
                <w:sz w:val="16"/>
                <w:szCs w:val="16"/>
              </w:rPr>
            </w:pPr>
            <w:r w:rsidRPr="0098062C">
              <w:rPr>
                <w:rFonts w:ascii="Calibri" w:hAnsi="Calibri"/>
                <w:color w:val="000000"/>
                <w:sz w:val="16"/>
                <w:szCs w:val="16"/>
              </w:rPr>
              <w:t>0,00%</w:t>
            </w:r>
          </w:p>
        </w:tc>
        <w:tc>
          <w:tcPr>
            <w:tcW w:w="1120" w:type="dxa"/>
            <w:tcBorders>
              <w:top w:val="nil"/>
              <w:left w:val="nil"/>
              <w:bottom w:val="single" w:sz="4" w:space="0" w:color="auto"/>
              <w:right w:val="single" w:sz="8" w:space="0" w:color="auto"/>
            </w:tcBorders>
            <w:shd w:val="clear" w:color="000000" w:fill="F2F2F2"/>
            <w:noWrap/>
            <w:vAlign w:val="center"/>
            <w:hideMark/>
          </w:tcPr>
          <w:p w:rsidR="00B50219" w:rsidRPr="0098062C" w:rsidRDefault="00B50219" w:rsidP="00B6079F">
            <w:pPr>
              <w:jc w:val="center"/>
              <w:rPr>
                <w:rFonts w:ascii="Calibri" w:hAnsi="Calibri"/>
                <w:color w:val="000000"/>
                <w:sz w:val="16"/>
                <w:szCs w:val="16"/>
              </w:rPr>
            </w:pPr>
            <w:r w:rsidRPr="0098062C">
              <w:rPr>
                <w:rFonts w:ascii="Calibri" w:hAnsi="Calibri"/>
                <w:color w:val="000000"/>
                <w:sz w:val="16"/>
                <w:szCs w:val="16"/>
              </w:rPr>
              <w:t>0,00%</w:t>
            </w:r>
          </w:p>
        </w:tc>
      </w:tr>
      <w:tr w:rsidR="00B50219" w:rsidRPr="0098062C" w:rsidTr="00B6079F">
        <w:trPr>
          <w:trHeight w:val="300"/>
        </w:trPr>
        <w:tc>
          <w:tcPr>
            <w:tcW w:w="820" w:type="dxa"/>
            <w:vMerge/>
            <w:tcBorders>
              <w:top w:val="nil"/>
              <w:left w:val="single" w:sz="8" w:space="0" w:color="auto"/>
              <w:bottom w:val="single" w:sz="8" w:space="0" w:color="000000"/>
              <w:right w:val="single" w:sz="8" w:space="0" w:color="auto"/>
            </w:tcBorders>
            <w:vAlign w:val="center"/>
            <w:hideMark/>
          </w:tcPr>
          <w:p w:rsidR="00B50219" w:rsidRPr="0098062C" w:rsidRDefault="00B50219" w:rsidP="00B6079F">
            <w:pPr>
              <w:rPr>
                <w:rFonts w:ascii="Calibri" w:hAnsi="Calibri"/>
                <w:b/>
                <w:bCs/>
                <w:color w:val="000000"/>
                <w:sz w:val="16"/>
                <w:szCs w:val="16"/>
              </w:rPr>
            </w:pPr>
          </w:p>
        </w:tc>
        <w:tc>
          <w:tcPr>
            <w:tcW w:w="4720" w:type="dxa"/>
            <w:tcBorders>
              <w:top w:val="nil"/>
              <w:left w:val="nil"/>
              <w:bottom w:val="single" w:sz="4" w:space="0" w:color="auto"/>
              <w:right w:val="single" w:sz="4" w:space="0" w:color="auto"/>
            </w:tcBorders>
            <w:shd w:val="clear" w:color="auto" w:fill="auto"/>
            <w:noWrap/>
            <w:vAlign w:val="bottom"/>
            <w:hideMark/>
          </w:tcPr>
          <w:p w:rsidR="00B50219" w:rsidRPr="0098062C" w:rsidRDefault="00B50219" w:rsidP="00B6079F">
            <w:pPr>
              <w:rPr>
                <w:rFonts w:ascii="Calibri" w:hAnsi="Calibri"/>
                <w:color w:val="000000"/>
                <w:sz w:val="16"/>
                <w:szCs w:val="16"/>
              </w:rPr>
            </w:pPr>
            <w:r w:rsidRPr="0098062C">
              <w:rPr>
                <w:rFonts w:ascii="Calibri" w:hAnsi="Calibri"/>
                <w:color w:val="000000"/>
                <w:sz w:val="16"/>
                <w:szCs w:val="16"/>
              </w:rPr>
              <w:t>FI em Direitos Creditórios - fechado - sênior Art. 7º, VII, "a"</w:t>
            </w:r>
          </w:p>
        </w:tc>
        <w:tc>
          <w:tcPr>
            <w:tcW w:w="1120" w:type="dxa"/>
            <w:tcBorders>
              <w:top w:val="nil"/>
              <w:left w:val="single" w:sz="8" w:space="0" w:color="auto"/>
              <w:bottom w:val="single" w:sz="4" w:space="0" w:color="auto"/>
              <w:right w:val="single" w:sz="4" w:space="0" w:color="auto"/>
            </w:tcBorders>
            <w:shd w:val="clear" w:color="000000" w:fill="F2F2F2"/>
            <w:noWrap/>
            <w:vAlign w:val="center"/>
            <w:hideMark/>
          </w:tcPr>
          <w:p w:rsidR="00B50219" w:rsidRPr="0098062C" w:rsidRDefault="00B50219" w:rsidP="00B6079F">
            <w:pPr>
              <w:jc w:val="center"/>
              <w:rPr>
                <w:rFonts w:ascii="Calibri" w:hAnsi="Calibri"/>
                <w:color w:val="000000"/>
                <w:sz w:val="16"/>
                <w:szCs w:val="16"/>
              </w:rPr>
            </w:pPr>
            <w:r w:rsidRPr="0098062C">
              <w:rPr>
                <w:rFonts w:ascii="Calibri" w:hAnsi="Calibri"/>
                <w:color w:val="000000"/>
                <w:sz w:val="16"/>
                <w:szCs w:val="16"/>
              </w:rPr>
              <w:t>0,00%</w:t>
            </w:r>
          </w:p>
        </w:tc>
        <w:tc>
          <w:tcPr>
            <w:tcW w:w="1120" w:type="dxa"/>
            <w:tcBorders>
              <w:top w:val="nil"/>
              <w:left w:val="nil"/>
              <w:bottom w:val="single" w:sz="4" w:space="0" w:color="auto"/>
              <w:right w:val="single" w:sz="4" w:space="0" w:color="auto"/>
            </w:tcBorders>
            <w:shd w:val="clear" w:color="000000" w:fill="F2F2F2"/>
            <w:noWrap/>
            <w:vAlign w:val="center"/>
            <w:hideMark/>
          </w:tcPr>
          <w:p w:rsidR="00B50219" w:rsidRPr="0098062C" w:rsidRDefault="00B50219" w:rsidP="00B6079F">
            <w:pPr>
              <w:jc w:val="center"/>
              <w:rPr>
                <w:rFonts w:ascii="Calibri" w:hAnsi="Calibri"/>
                <w:color w:val="000000"/>
                <w:sz w:val="16"/>
                <w:szCs w:val="16"/>
              </w:rPr>
            </w:pPr>
            <w:r w:rsidRPr="0098062C">
              <w:rPr>
                <w:rFonts w:ascii="Calibri" w:hAnsi="Calibri"/>
                <w:color w:val="000000"/>
                <w:sz w:val="16"/>
                <w:szCs w:val="16"/>
              </w:rPr>
              <w:t>0,00%</w:t>
            </w:r>
          </w:p>
        </w:tc>
        <w:tc>
          <w:tcPr>
            <w:tcW w:w="1120" w:type="dxa"/>
            <w:tcBorders>
              <w:top w:val="nil"/>
              <w:left w:val="nil"/>
              <w:bottom w:val="single" w:sz="4" w:space="0" w:color="auto"/>
              <w:right w:val="single" w:sz="8" w:space="0" w:color="auto"/>
            </w:tcBorders>
            <w:shd w:val="clear" w:color="000000" w:fill="F2F2F2"/>
            <w:noWrap/>
            <w:vAlign w:val="center"/>
            <w:hideMark/>
          </w:tcPr>
          <w:p w:rsidR="00B50219" w:rsidRPr="0098062C" w:rsidRDefault="00B50219" w:rsidP="00B6079F">
            <w:pPr>
              <w:jc w:val="center"/>
              <w:rPr>
                <w:rFonts w:ascii="Calibri" w:hAnsi="Calibri"/>
                <w:color w:val="000000"/>
                <w:sz w:val="16"/>
                <w:szCs w:val="16"/>
              </w:rPr>
            </w:pPr>
            <w:r w:rsidRPr="0098062C">
              <w:rPr>
                <w:rFonts w:ascii="Calibri" w:hAnsi="Calibri"/>
                <w:color w:val="000000"/>
                <w:sz w:val="16"/>
                <w:szCs w:val="16"/>
              </w:rPr>
              <w:t>5,00%</w:t>
            </w:r>
          </w:p>
        </w:tc>
      </w:tr>
      <w:tr w:rsidR="00B50219" w:rsidRPr="0098062C" w:rsidTr="00B6079F">
        <w:trPr>
          <w:trHeight w:val="300"/>
        </w:trPr>
        <w:tc>
          <w:tcPr>
            <w:tcW w:w="820" w:type="dxa"/>
            <w:vMerge/>
            <w:tcBorders>
              <w:top w:val="nil"/>
              <w:left w:val="single" w:sz="8" w:space="0" w:color="auto"/>
              <w:bottom w:val="single" w:sz="8" w:space="0" w:color="000000"/>
              <w:right w:val="single" w:sz="8" w:space="0" w:color="auto"/>
            </w:tcBorders>
            <w:vAlign w:val="center"/>
            <w:hideMark/>
          </w:tcPr>
          <w:p w:rsidR="00B50219" w:rsidRPr="0098062C" w:rsidRDefault="00B50219" w:rsidP="00B6079F">
            <w:pPr>
              <w:rPr>
                <w:rFonts w:ascii="Calibri" w:hAnsi="Calibri"/>
                <w:b/>
                <w:bCs/>
                <w:color w:val="000000"/>
                <w:sz w:val="16"/>
                <w:szCs w:val="16"/>
              </w:rPr>
            </w:pPr>
          </w:p>
        </w:tc>
        <w:tc>
          <w:tcPr>
            <w:tcW w:w="4720" w:type="dxa"/>
            <w:tcBorders>
              <w:top w:val="nil"/>
              <w:left w:val="nil"/>
              <w:bottom w:val="nil"/>
              <w:right w:val="single" w:sz="4" w:space="0" w:color="auto"/>
            </w:tcBorders>
            <w:shd w:val="clear" w:color="auto" w:fill="auto"/>
            <w:noWrap/>
            <w:vAlign w:val="bottom"/>
            <w:hideMark/>
          </w:tcPr>
          <w:p w:rsidR="00B50219" w:rsidRPr="0098062C" w:rsidRDefault="00B50219" w:rsidP="00B6079F">
            <w:pPr>
              <w:rPr>
                <w:rFonts w:ascii="Calibri" w:hAnsi="Calibri"/>
                <w:color w:val="000000"/>
                <w:sz w:val="16"/>
                <w:szCs w:val="16"/>
              </w:rPr>
            </w:pPr>
            <w:r w:rsidRPr="0098062C">
              <w:rPr>
                <w:rFonts w:ascii="Calibri" w:hAnsi="Calibri"/>
                <w:color w:val="000000"/>
                <w:sz w:val="16"/>
                <w:szCs w:val="16"/>
              </w:rPr>
              <w:t>FI em Direitos Creditórios - fechado - subordinada Art. 7º, VII, "a"</w:t>
            </w:r>
          </w:p>
        </w:tc>
        <w:tc>
          <w:tcPr>
            <w:tcW w:w="1120" w:type="dxa"/>
            <w:tcBorders>
              <w:top w:val="nil"/>
              <w:left w:val="single" w:sz="8" w:space="0" w:color="auto"/>
              <w:bottom w:val="nil"/>
              <w:right w:val="single" w:sz="4" w:space="0" w:color="auto"/>
            </w:tcBorders>
            <w:shd w:val="clear" w:color="000000" w:fill="F2F2F2"/>
            <w:noWrap/>
            <w:vAlign w:val="center"/>
            <w:hideMark/>
          </w:tcPr>
          <w:p w:rsidR="00B50219" w:rsidRPr="0098062C" w:rsidRDefault="00B50219" w:rsidP="00B6079F">
            <w:pPr>
              <w:jc w:val="center"/>
              <w:rPr>
                <w:rFonts w:ascii="Calibri" w:hAnsi="Calibri"/>
                <w:color w:val="000000"/>
                <w:sz w:val="16"/>
                <w:szCs w:val="16"/>
              </w:rPr>
            </w:pPr>
            <w:r w:rsidRPr="0098062C">
              <w:rPr>
                <w:rFonts w:ascii="Calibri" w:hAnsi="Calibri"/>
                <w:color w:val="000000"/>
                <w:sz w:val="16"/>
                <w:szCs w:val="16"/>
              </w:rPr>
              <w:t>0,00%</w:t>
            </w:r>
          </w:p>
        </w:tc>
        <w:tc>
          <w:tcPr>
            <w:tcW w:w="1120" w:type="dxa"/>
            <w:tcBorders>
              <w:top w:val="nil"/>
              <w:left w:val="nil"/>
              <w:bottom w:val="nil"/>
              <w:right w:val="single" w:sz="4" w:space="0" w:color="auto"/>
            </w:tcBorders>
            <w:shd w:val="clear" w:color="000000" w:fill="F2F2F2"/>
            <w:noWrap/>
            <w:vAlign w:val="center"/>
            <w:hideMark/>
          </w:tcPr>
          <w:p w:rsidR="00B50219" w:rsidRPr="0098062C" w:rsidRDefault="00B50219" w:rsidP="00B6079F">
            <w:pPr>
              <w:jc w:val="center"/>
              <w:rPr>
                <w:rFonts w:ascii="Calibri" w:hAnsi="Calibri"/>
                <w:color w:val="000000"/>
                <w:sz w:val="16"/>
                <w:szCs w:val="16"/>
              </w:rPr>
            </w:pPr>
            <w:r w:rsidRPr="0098062C">
              <w:rPr>
                <w:rFonts w:ascii="Calibri" w:hAnsi="Calibri"/>
                <w:color w:val="000000"/>
                <w:sz w:val="16"/>
                <w:szCs w:val="16"/>
              </w:rPr>
              <w:t>0,00%</w:t>
            </w:r>
          </w:p>
        </w:tc>
        <w:tc>
          <w:tcPr>
            <w:tcW w:w="1120" w:type="dxa"/>
            <w:tcBorders>
              <w:top w:val="nil"/>
              <w:left w:val="nil"/>
              <w:bottom w:val="nil"/>
              <w:right w:val="single" w:sz="8" w:space="0" w:color="auto"/>
            </w:tcBorders>
            <w:shd w:val="clear" w:color="000000" w:fill="F2F2F2"/>
            <w:noWrap/>
            <w:vAlign w:val="center"/>
            <w:hideMark/>
          </w:tcPr>
          <w:p w:rsidR="00B50219" w:rsidRPr="0098062C" w:rsidRDefault="00B50219" w:rsidP="00B6079F">
            <w:pPr>
              <w:jc w:val="center"/>
              <w:rPr>
                <w:rFonts w:ascii="Calibri" w:hAnsi="Calibri"/>
                <w:color w:val="000000"/>
                <w:sz w:val="16"/>
                <w:szCs w:val="16"/>
              </w:rPr>
            </w:pPr>
            <w:r w:rsidRPr="0098062C">
              <w:rPr>
                <w:rFonts w:ascii="Calibri" w:hAnsi="Calibri"/>
                <w:color w:val="000000"/>
                <w:sz w:val="16"/>
                <w:szCs w:val="16"/>
              </w:rPr>
              <w:t>0,00%</w:t>
            </w:r>
          </w:p>
        </w:tc>
      </w:tr>
      <w:tr w:rsidR="00B50219" w:rsidRPr="0098062C" w:rsidTr="00B6079F">
        <w:trPr>
          <w:trHeight w:val="315"/>
        </w:trPr>
        <w:tc>
          <w:tcPr>
            <w:tcW w:w="820" w:type="dxa"/>
            <w:vMerge/>
            <w:tcBorders>
              <w:top w:val="nil"/>
              <w:left w:val="single" w:sz="8" w:space="0" w:color="auto"/>
              <w:bottom w:val="single" w:sz="8" w:space="0" w:color="000000"/>
              <w:right w:val="single" w:sz="8" w:space="0" w:color="auto"/>
            </w:tcBorders>
            <w:vAlign w:val="center"/>
            <w:hideMark/>
          </w:tcPr>
          <w:p w:rsidR="00B50219" w:rsidRPr="0098062C" w:rsidRDefault="00B50219" w:rsidP="00B6079F">
            <w:pPr>
              <w:rPr>
                <w:rFonts w:ascii="Calibri" w:hAnsi="Calibri"/>
                <w:b/>
                <w:bCs/>
                <w:color w:val="000000"/>
                <w:sz w:val="16"/>
                <w:szCs w:val="16"/>
              </w:rPr>
            </w:pPr>
          </w:p>
        </w:tc>
        <w:tc>
          <w:tcPr>
            <w:tcW w:w="4720" w:type="dxa"/>
            <w:tcBorders>
              <w:top w:val="single" w:sz="4" w:space="0" w:color="auto"/>
              <w:left w:val="nil"/>
              <w:bottom w:val="nil"/>
              <w:right w:val="single" w:sz="4" w:space="0" w:color="auto"/>
            </w:tcBorders>
            <w:shd w:val="clear" w:color="auto" w:fill="auto"/>
            <w:noWrap/>
            <w:vAlign w:val="bottom"/>
            <w:hideMark/>
          </w:tcPr>
          <w:p w:rsidR="00B50219" w:rsidRPr="0098062C" w:rsidRDefault="00B50219" w:rsidP="00B6079F">
            <w:pPr>
              <w:rPr>
                <w:rFonts w:ascii="Calibri" w:hAnsi="Calibri"/>
                <w:color w:val="000000"/>
                <w:sz w:val="16"/>
                <w:szCs w:val="16"/>
              </w:rPr>
            </w:pPr>
            <w:r w:rsidRPr="0098062C">
              <w:rPr>
                <w:rFonts w:ascii="Calibri" w:hAnsi="Calibri"/>
                <w:color w:val="000000"/>
                <w:sz w:val="16"/>
                <w:szCs w:val="16"/>
              </w:rPr>
              <w:t>FI Renda Fixa "Crédito Privado"- Art. 7º, VII, "b"</w:t>
            </w:r>
          </w:p>
        </w:tc>
        <w:tc>
          <w:tcPr>
            <w:tcW w:w="1120" w:type="dxa"/>
            <w:tcBorders>
              <w:top w:val="single" w:sz="4" w:space="0" w:color="auto"/>
              <w:left w:val="single" w:sz="8" w:space="0" w:color="auto"/>
              <w:bottom w:val="nil"/>
              <w:right w:val="single" w:sz="4" w:space="0" w:color="auto"/>
            </w:tcBorders>
            <w:shd w:val="clear" w:color="000000" w:fill="F2F2F2"/>
            <w:noWrap/>
            <w:vAlign w:val="center"/>
            <w:hideMark/>
          </w:tcPr>
          <w:p w:rsidR="00B50219" w:rsidRPr="0098062C" w:rsidRDefault="00B50219" w:rsidP="00B6079F">
            <w:pPr>
              <w:jc w:val="center"/>
              <w:rPr>
                <w:rFonts w:ascii="Calibri" w:hAnsi="Calibri"/>
                <w:color w:val="000000"/>
                <w:sz w:val="16"/>
                <w:szCs w:val="16"/>
              </w:rPr>
            </w:pPr>
            <w:r w:rsidRPr="0098062C">
              <w:rPr>
                <w:rFonts w:ascii="Calibri" w:hAnsi="Calibri"/>
                <w:color w:val="000000"/>
                <w:sz w:val="16"/>
                <w:szCs w:val="16"/>
              </w:rPr>
              <w:t>0,00%</w:t>
            </w:r>
          </w:p>
        </w:tc>
        <w:tc>
          <w:tcPr>
            <w:tcW w:w="1120" w:type="dxa"/>
            <w:tcBorders>
              <w:top w:val="single" w:sz="4" w:space="0" w:color="auto"/>
              <w:left w:val="nil"/>
              <w:bottom w:val="nil"/>
              <w:right w:val="single" w:sz="4" w:space="0" w:color="auto"/>
            </w:tcBorders>
            <w:shd w:val="clear" w:color="000000" w:fill="F2F2F2"/>
            <w:noWrap/>
            <w:vAlign w:val="center"/>
            <w:hideMark/>
          </w:tcPr>
          <w:p w:rsidR="00B50219" w:rsidRPr="0098062C" w:rsidRDefault="00B50219" w:rsidP="00B6079F">
            <w:pPr>
              <w:jc w:val="center"/>
              <w:rPr>
                <w:rFonts w:ascii="Calibri" w:hAnsi="Calibri"/>
                <w:color w:val="000000"/>
                <w:sz w:val="16"/>
                <w:szCs w:val="16"/>
              </w:rPr>
            </w:pPr>
            <w:r w:rsidRPr="0098062C">
              <w:rPr>
                <w:rFonts w:ascii="Calibri" w:hAnsi="Calibri"/>
                <w:color w:val="000000"/>
                <w:sz w:val="16"/>
                <w:szCs w:val="16"/>
              </w:rPr>
              <w:t>0,00%</w:t>
            </w:r>
          </w:p>
        </w:tc>
        <w:tc>
          <w:tcPr>
            <w:tcW w:w="1120" w:type="dxa"/>
            <w:tcBorders>
              <w:top w:val="single" w:sz="4" w:space="0" w:color="auto"/>
              <w:left w:val="nil"/>
              <w:bottom w:val="nil"/>
              <w:right w:val="single" w:sz="8" w:space="0" w:color="auto"/>
            </w:tcBorders>
            <w:shd w:val="clear" w:color="000000" w:fill="F2F2F2"/>
            <w:noWrap/>
            <w:vAlign w:val="center"/>
            <w:hideMark/>
          </w:tcPr>
          <w:p w:rsidR="00B50219" w:rsidRPr="0098062C" w:rsidRDefault="00B50219" w:rsidP="00B6079F">
            <w:pPr>
              <w:jc w:val="center"/>
              <w:rPr>
                <w:rFonts w:ascii="Calibri" w:hAnsi="Calibri"/>
                <w:color w:val="000000"/>
                <w:sz w:val="16"/>
                <w:szCs w:val="16"/>
              </w:rPr>
            </w:pPr>
            <w:r w:rsidRPr="0098062C">
              <w:rPr>
                <w:rFonts w:ascii="Calibri" w:hAnsi="Calibri"/>
                <w:color w:val="000000"/>
                <w:sz w:val="16"/>
                <w:szCs w:val="16"/>
              </w:rPr>
              <w:t>5,00%</w:t>
            </w:r>
          </w:p>
        </w:tc>
      </w:tr>
      <w:tr w:rsidR="00B50219" w:rsidRPr="0098062C" w:rsidTr="00B6079F">
        <w:trPr>
          <w:trHeight w:val="315"/>
        </w:trPr>
        <w:tc>
          <w:tcPr>
            <w:tcW w:w="820" w:type="dxa"/>
            <w:vMerge/>
            <w:tcBorders>
              <w:top w:val="nil"/>
              <w:left w:val="single" w:sz="8" w:space="0" w:color="auto"/>
              <w:bottom w:val="single" w:sz="8" w:space="0" w:color="000000"/>
              <w:right w:val="single" w:sz="8" w:space="0" w:color="auto"/>
            </w:tcBorders>
            <w:vAlign w:val="center"/>
            <w:hideMark/>
          </w:tcPr>
          <w:p w:rsidR="00B50219" w:rsidRPr="0098062C" w:rsidRDefault="00B50219" w:rsidP="00B6079F">
            <w:pPr>
              <w:rPr>
                <w:rFonts w:ascii="Calibri" w:hAnsi="Calibri"/>
                <w:b/>
                <w:bCs/>
                <w:color w:val="000000"/>
                <w:sz w:val="16"/>
                <w:szCs w:val="16"/>
              </w:rPr>
            </w:pPr>
          </w:p>
        </w:tc>
        <w:tc>
          <w:tcPr>
            <w:tcW w:w="4720" w:type="dxa"/>
            <w:tcBorders>
              <w:top w:val="single" w:sz="8" w:space="0" w:color="auto"/>
              <w:left w:val="nil"/>
              <w:bottom w:val="single" w:sz="8" w:space="0" w:color="auto"/>
              <w:right w:val="single" w:sz="4" w:space="0" w:color="auto"/>
            </w:tcBorders>
            <w:shd w:val="clear" w:color="000000" w:fill="D9D9D9"/>
            <w:noWrap/>
            <w:vAlign w:val="center"/>
            <w:hideMark/>
          </w:tcPr>
          <w:p w:rsidR="00B50219" w:rsidRPr="0098062C" w:rsidRDefault="00B50219" w:rsidP="00B6079F">
            <w:pPr>
              <w:jc w:val="center"/>
              <w:rPr>
                <w:rFonts w:ascii="Calibri" w:hAnsi="Calibri"/>
                <w:b/>
                <w:bCs/>
                <w:color w:val="000000"/>
                <w:sz w:val="16"/>
                <w:szCs w:val="16"/>
              </w:rPr>
            </w:pPr>
            <w:r w:rsidRPr="0098062C">
              <w:rPr>
                <w:rFonts w:ascii="Calibri" w:hAnsi="Calibri"/>
                <w:b/>
                <w:bCs/>
                <w:color w:val="000000"/>
                <w:sz w:val="16"/>
                <w:szCs w:val="16"/>
              </w:rPr>
              <w:t>Subtotal</w:t>
            </w:r>
          </w:p>
        </w:tc>
        <w:tc>
          <w:tcPr>
            <w:tcW w:w="1120"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B50219" w:rsidRPr="0098062C" w:rsidRDefault="00B50219" w:rsidP="00B6079F">
            <w:pPr>
              <w:jc w:val="center"/>
              <w:rPr>
                <w:rFonts w:ascii="Calibri" w:hAnsi="Calibri"/>
                <w:b/>
                <w:bCs/>
                <w:color w:val="000000"/>
                <w:sz w:val="16"/>
                <w:szCs w:val="16"/>
              </w:rPr>
            </w:pPr>
            <w:r w:rsidRPr="0098062C">
              <w:rPr>
                <w:rFonts w:ascii="Calibri" w:hAnsi="Calibri"/>
                <w:b/>
                <w:bCs/>
                <w:color w:val="000000"/>
                <w:sz w:val="16"/>
                <w:szCs w:val="16"/>
              </w:rPr>
              <w:t>55,00%</w:t>
            </w:r>
          </w:p>
        </w:tc>
        <w:tc>
          <w:tcPr>
            <w:tcW w:w="1120" w:type="dxa"/>
            <w:tcBorders>
              <w:top w:val="single" w:sz="8" w:space="0" w:color="auto"/>
              <w:left w:val="nil"/>
              <w:bottom w:val="single" w:sz="8" w:space="0" w:color="auto"/>
              <w:right w:val="single" w:sz="4" w:space="0" w:color="auto"/>
            </w:tcBorders>
            <w:shd w:val="clear" w:color="000000" w:fill="D9D9D9"/>
            <w:noWrap/>
            <w:vAlign w:val="center"/>
            <w:hideMark/>
          </w:tcPr>
          <w:p w:rsidR="00B50219" w:rsidRPr="0098062C" w:rsidRDefault="00B50219" w:rsidP="00B6079F">
            <w:pPr>
              <w:jc w:val="center"/>
              <w:rPr>
                <w:rFonts w:ascii="Calibri" w:hAnsi="Calibri"/>
                <w:b/>
                <w:bCs/>
                <w:color w:val="000000"/>
                <w:sz w:val="16"/>
                <w:szCs w:val="16"/>
              </w:rPr>
            </w:pPr>
            <w:r w:rsidRPr="0098062C">
              <w:rPr>
                <w:rFonts w:ascii="Calibri" w:hAnsi="Calibri"/>
                <w:b/>
                <w:bCs/>
                <w:color w:val="000000"/>
                <w:sz w:val="16"/>
                <w:szCs w:val="16"/>
              </w:rPr>
              <w:t>75,00%</w:t>
            </w:r>
          </w:p>
        </w:tc>
        <w:tc>
          <w:tcPr>
            <w:tcW w:w="1120" w:type="dxa"/>
            <w:tcBorders>
              <w:top w:val="single" w:sz="8" w:space="0" w:color="auto"/>
              <w:left w:val="nil"/>
              <w:bottom w:val="single" w:sz="8" w:space="0" w:color="auto"/>
              <w:right w:val="single" w:sz="8" w:space="0" w:color="auto"/>
            </w:tcBorders>
            <w:shd w:val="clear" w:color="000000" w:fill="D9D9D9"/>
            <w:noWrap/>
            <w:vAlign w:val="center"/>
            <w:hideMark/>
          </w:tcPr>
          <w:p w:rsidR="00B50219" w:rsidRPr="0098062C" w:rsidRDefault="00B50219" w:rsidP="00B6079F">
            <w:pPr>
              <w:jc w:val="center"/>
              <w:rPr>
                <w:rFonts w:ascii="Calibri" w:hAnsi="Calibri"/>
                <w:b/>
                <w:bCs/>
                <w:color w:val="000000"/>
                <w:sz w:val="16"/>
                <w:szCs w:val="16"/>
              </w:rPr>
            </w:pPr>
            <w:r w:rsidRPr="0098062C">
              <w:rPr>
                <w:rFonts w:ascii="Calibri" w:hAnsi="Calibri"/>
                <w:b/>
                <w:bCs/>
                <w:color w:val="000000"/>
                <w:sz w:val="16"/>
                <w:szCs w:val="16"/>
              </w:rPr>
              <w:t>185,00%</w:t>
            </w:r>
          </w:p>
        </w:tc>
      </w:tr>
      <w:tr w:rsidR="00B50219" w:rsidRPr="0098062C" w:rsidTr="00B6079F">
        <w:trPr>
          <w:trHeight w:val="300"/>
        </w:trPr>
        <w:tc>
          <w:tcPr>
            <w:tcW w:w="82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B50219" w:rsidRPr="0098062C" w:rsidRDefault="00B50219" w:rsidP="00B6079F">
            <w:pPr>
              <w:jc w:val="center"/>
              <w:rPr>
                <w:rFonts w:ascii="Calibri" w:hAnsi="Calibri"/>
                <w:b/>
                <w:bCs/>
                <w:color w:val="000000"/>
                <w:sz w:val="16"/>
                <w:szCs w:val="16"/>
              </w:rPr>
            </w:pPr>
            <w:r w:rsidRPr="0098062C">
              <w:rPr>
                <w:rFonts w:ascii="Calibri" w:hAnsi="Calibri"/>
                <w:b/>
                <w:bCs/>
                <w:color w:val="000000"/>
                <w:sz w:val="16"/>
                <w:szCs w:val="16"/>
              </w:rPr>
              <w:t>Renda Variável</w:t>
            </w:r>
          </w:p>
        </w:tc>
        <w:tc>
          <w:tcPr>
            <w:tcW w:w="4720" w:type="dxa"/>
            <w:tcBorders>
              <w:top w:val="nil"/>
              <w:left w:val="nil"/>
              <w:bottom w:val="single" w:sz="4" w:space="0" w:color="auto"/>
              <w:right w:val="single" w:sz="4" w:space="0" w:color="auto"/>
            </w:tcBorders>
            <w:shd w:val="clear" w:color="auto" w:fill="auto"/>
            <w:noWrap/>
            <w:vAlign w:val="bottom"/>
            <w:hideMark/>
          </w:tcPr>
          <w:p w:rsidR="00B50219" w:rsidRPr="0098062C" w:rsidRDefault="00B50219" w:rsidP="00B6079F">
            <w:pPr>
              <w:rPr>
                <w:rFonts w:ascii="Calibri" w:hAnsi="Calibri"/>
                <w:color w:val="000000"/>
                <w:sz w:val="16"/>
                <w:szCs w:val="16"/>
              </w:rPr>
            </w:pPr>
            <w:r w:rsidRPr="0098062C">
              <w:rPr>
                <w:rFonts w:ascii="Calibri" w:hAnsi="Calibri"/>
                <w:color w:val="000000"/>
                <w:sz w:val="16"/>
                <w:szCs w:val="16"/>
              </w:rPr>
              <w:t>FI Ações Referenciados - Art. 8º, I</w:t>
            </w:r>
          </w:p>
        </w:tc>
        <w:tc>
          <w:tcPr>
            <w:tcW w:w="1120" w:type="dxa"/>
            <w:tcBorders>
              <w:top w:val="nil"/>
              <w:left w:val="single" w:sz="8" w:space="0" w:color="auto"/>
              <w:bottom w:val="single" w:sz="4" w:space="0" w:color="auto"/>
              <w:right w:val="single" w:sz="4" w:space="0" w:color="auto"/>
            </w:tcBorders>
            <w:shd w:val="clear" w:color="000000" w:fill="F2F2F2"/>
            <w:noWrap/>
            <w:vAlign w:val="center"/>
            <w:hideMark/>
          </w:tcPr>
          <w:p w:rsidR="00B50219" w:rsidRPr="0098062C" w:rsidRDefault="00B50219" w:rsidP="00B6079F">
            <w:pPr>
              <w:jc w:val="center"/>
              <w:rPr>
                <w:rFonts w:ascii="Calibri" w:hAnsi="Calibri"/>
                <w:color w:val="000000"/>
                <w:sz w:val="16"/>
                <w:szCs w:val="16"/>
              </w:rPr>
            </w:pPr>
            <w:r w:rsidRPr="0098062C">
              <w:rPr>
                <w:rFonts w:ascii="Calibri" w:hAnsi="Calibri"/>
                <w:color w:val="000000"/>
                <w:sz w:val="16"/>
                <w:szCs w:val="16"/>
              </w:rPr>
              <w:t>0,00%</w:t>
            </w:r>
          </w:p>
        </w:tc>
        <w:tc>
          <w:tcPr>
            <w:tcW w:w="1120" w:type="dxa"/>
            <w:tcBorders>
              <w:top w:val="nil"/>
              <w:left w:val="nil"/>
              <w:bottom w:val="single" w:sz="4" w:space="0" w:color="auto"/>
              <w:right w:val="single" w:sz="4" w:space="0" w:color="auto"/>
            </w:tcBorders>
            <w:shd w:val="clear" w:color="000000" w:fill="F2F2F2"/>
            <w:noWrap/>
            <w:vAlign w:val="center"/>
            <w:hideMark/>
          </w:tcPr>
          <w:p w:rsidR="00B50219" w:rsidRPr="0098062C" w:rsidRDefault="00B50219" w:rsidP="00B6079F">
            <w:pPr>
              <w:jc w:val="center"/>
              <w:rPr>
                <w:rFonts w:ascii="Calibri" w:hAnsi="Calibri"/>
                <w:color w:val="000000"/>
                <w:sz w:val="16"/>
                <w:szCs w:val="16"/>
              </w:rPr>
            </w:pPr>
            <w:r w:rsidRPr="0098062C">
              <w:rPr>
                <w:rFonts w:ascii="Calibri" w:hAnsi="Calibri"/>
                <w:color w:val="000000"/>
                <w:sz w:val="16"/>
                <w:szCs w:val="16"/>
              </w:rPr>
              <w:t>2,00%</w:t>
            </w:r>
          </w:p>
        </w:tc>
        <w:tc>
          <w:tcPr>
            <w:tcW w:w="1120" w:type="dxa"/>
            <w:tcBorders>
              <w:top w:val="nil"/>
              <w:left w:val="nil"/>
              <w:bottom w:val="single" w:sz="4" w:space="0" w:color="auto"/>
              <w:right w:val="single" w:sz="8" w:space="0" w:color="auto"/>
            </w:tcBorders>
            <w:shd w:val="clear" w:color="000000" w:fill="F2F2F2"/>
            <w:noWrap/>
            <w:vAlign w:val="center"/>
            <w:hideMark/>
          </w:tcPr>
          <w:p w:rsidR="00B50219" w:rsidRPr="0098062C" w:rsidRDefault="00B50219" w:rsidP="00B6079F">
            <w:pPr>
              <w:jc w:val="center"/>
              <w:rPr>
                <w:rFonts w:ascii="Calibri" w:hAnsi="Calibri"/>
                <w:color w:val="000000"/>
                <w:sz w:val="16"/>
                <w:szCs w:val="16"/>
              </w:rPr>
            </w:pPr>
            <w:r>
              <w:rPr>
                <w:rFonts w:ascii="Calibri" w:hAnsi="Calibri"/>
                <w:color w:val="000000"/>
                <w:sz w:val="16"/>
                <w:szCs w:val="16"/>
              </w:rPr>
              <w:t>2</w:t>
            </w:r>
            <w:r w:rsidRPr="0098062C">
              <w:rPr>
                <w:rFonts w:ascii="Calibri" w:hAnsi="Calibri"/>
                <w:color w:val="000000"/>
                <w:sz w:val="16"/>
                <w:szCs w:val="16"/>
              </w:rPr>
              <w:t>,00%</w:t>
            </w:r>
          </w:p>
        </w:tc>
      </w:tr>
      <w:tr w:rsidR="00B50219" w:rsidRPr="0098062C" w:rsidTr="00B6079F">
        <w:trPr>
          <w:trHeight w:val="300"/>
        </w:trPr>
        <w:tc>
          <w:tcPr>
            <w:tcW w:w="820" w:type="dxa"/>
            <w:vMerge/>
            <w:tcBorders>
              <w:top w:val="nil"/>
              <w:left w:val="single" w:sz="8" w:space="0" w:color="auto"/>
              <w:bottom w:val="single" w:sz="8" w:space="0" w:color="000000"/>
              <w:right w:val="single" w:sz="8" w:space="0" w:color="auto"/>
            </w:tcBorders>
            <w:vAlign w:val="center"/>
            <w:hideMark/>
          </w:tcPr>
          <w:p w:rsidR="00B50219" w:rsidRPr="0098062C" w:rsidRDefault="00B50219" w:rsidP="00B6079F">
            <w:pPr>
              <w:rPr>
                <w:rFonts w:ascii="Calibri" w:hAnsi="Calibri"/>
                <w:b/>
                <w:bCs/>
                <w:color w:val="000000"/>
                <w:sz w:val="16"/>
                <w:szCs w:val="16"/>
              </w:rPr>
            </w:pPr>
          </w:p>
        </w:tc>
        <w:tc>
          <w:tcPr>
            <w:tcW w:w="4720" w:type="dxa"/>
            <w:tcBorders>
              <w:top w:val="nil"/>
              <w:left w:val="nil"/>
              <w:bottom w:val="single" w:sz="4" w:space="0" w:color="auto"/>
              <w:right w:val="single" w:sz="4" w:space="0" w:color="auto"/>
            </w:tcBorders>
            <w:shd w:val="clear" w:color="auto" w:fill="auto"/>
            <w:noWrap/>
            <w:vAlign w:val="bottom"/>
            <w:hideMark/>
          </w:tcPr>
          <w:p w:rsidR="00B50219" w:rsidRPr="0098062C" w:rsidRDefault="00B50219" w:rsidP="00B6079F">
            <w:pPr>
              <w:rPr>
                <w:rFonts w:ascii="Calibri" w:hAnsi="Calibri"/>
                <w:color w:val="000000"/>
                <w:sz w:val="16"/>
                <w:szCs w:val="16"/>
              </w:rPr>
            </w:pPr>
            <w:r w:rsidRPr="0098062C">
              <w:rPr>
                <w:rFonts w:ascii="Calibri" w:hAnsi="Calibri"/>
                <w:color w:val="000000"/>
                <w:sz w:val="16"/>
                <w:szCs w:val="16"/>
              </w:rPr>
              <w:t>FI de Índices Referenciados em Ações - Art. 8º, II</w:t>
            </w:r>
          </w:p>
        </w:tc>
        <w:tc>
          <w:tcPr>
            <w:tcW w:w="1120" w:type="dxa"/>
            <w:tcBorders>
              <w:top w:val="nil"/>
              <w:left w:val="single" w:sz="8" w:space="0" w:color="auto"/>
              <w:bottom w:val="single" w:sz="4" w:space="0" w:color="auto"/>
              <w:right w:val="single" w:sz="4" w:space="0" w:color="auto"/>
            </w:tcBorders>
            <w:shd w:val="clear" w:color="000000" w:fill="F2F2F2"/>
            <w:noWrap/>
            <w:vAlign w:val="center"/>
            <w:hideMark/>
          </w:tcPr>
          <w:p w:rsidR="00B50219" w:rsidRPr="0098062C" w:rsidRDefault="00B50219" w:rsidP="00B6079F">
            <w:pPr>
              <w:jc w:val="center"/>
              <w:rPr>
                <w:rFonts w:ascii="Calibri" w:hAnsi="Calibri"/>
                <w:color w:val="000000"/>
                <w:sz w:val="16"/>
                <w:szCs w:val="16"/>
              </w:rPr>
            </w:pPr>
            <w:r w:rsidRPr="0098062C">
              <w:rPr>
                <w:rFonts w:ascii="Calibri" w:hAnsi="Calibri"/>
                <w:color w:val="000000"/>
                <w:sz w:val="16"/>
                <w:szCs w:val="16"/>
              </w:rPr>
              <w:t>0,00%</w:t>
            </w:r>
          </w:p>
        </w:tc>
        <w:tc>
          <w:tcPr>
            <w:tcW w:w="1120" w:type="dxa"/>
            <w:tcBorders>
              <w:top w:val="nil"/>
              <w:left w:val="nil"/>
              <w:bottom w:val="single" w:sz="4" w:space="0" w:color="auto"/>
              <w:right w:val="single" w:sz="4" w:space="0" w:color="auto"/>
            </w:tcBorders>
            <w:shd w:val="clear" w:color="000000" w:fill="F2F2F2"/>
            <w:noWrap/>
            <w:vAlign w:val="center"/>
            <w:hideMark/>
          </w:tcPr>
          <w:p w:rsidR="00B50219" w:rsidRPr="0098062C" w:rsidRDefault="00B50219" w:rsidP="00B6079F">
            <w:pPr>
              <w:jc w:val="center"/>
              <w:rPr>
                <w:rFonts w:ascii="Calibri" w:hAnsi="Calibri"/>
                <w:color w:val="000000"/>
                <w:sz w:val="16"/>
                <w:szCs w:val="16"/>
              </w:rPr>
            </w:pPr>
            <w:r w:rsidRPr="0098062C">
              <w:rPr>
                <w:rFonts w:ascii="Calibri" w:hAnsi="Calibri"/>
                <w:color w:val="000000"/>
                <w:sz w:val="16"/>
                <w:szCs w:val="16"/>
              </w:rPr>
              <w:t>0,00%</w:t>
            </w:r>
          </w:p>
        </w:tc>
        <w:tc>
          <w:tcPr>
            <w:tcW w:w="1120" w:type="dxa"/>
            <w:tcBorders>
              <w:top w:val="nil"/>
              <w:left w:val="nil"/>
              <w:bottom w:val="single" w:sz="4" w:space="0" w:color="auto"/>
              <w:right w:val="single" w:sz="8" w:space="0" w:color="auto"/>
            </w:tcBorders>
            <w:shd w:val="clear" w:color="000000" w:fill="F2F2F2"/>
            <w:noWrap/>
            <w:vAlign w:val="center"/>
            <w:hideMark/>
          </w:tcPr>
          <w:p w:rsidR="00B50219" w:rsidRPr="0098062C" w:rsidRDefault="00B50219" w:rsidP="00B6079F">
            <w:pPr>
              <w:jc w:val="center"/>
              <w:rPr>
                <w:rFonts w:ascii="Calibri" w:hAnsi="Calibri"/>
                <w:color w:val="000000"/>
                <w:sz w:val="16"/>
                <w:szCs w:val="16"/>
              </w:rPr>
            </w:pPr>
            <w:r w:rsidRPr="0098062C">
              <w:rPr>
                <w:rFonts w:ascii="Calibri" w:hAnsi="Calibri"/>
                <w:color w:val="000000"/>
                <w:sz w:val="16"/>
                <w:szCs w:val="16"/>
              </w:rPr>
              <w:t>0,00%</w:t>
            </w:r>
          </w:p>
        </w:tc>
      </w:tr>
      <w:tr w:rsidR="00B50219" w:rsidRPr="0098062C" w:rsidTr="00B6079F">
        <w:trPr>
          <w:trHeight w:val="300"/>
        </w:trPr>
        <w:tc>
          <w:tcPr>
            <w:tcW w:w="820" w:type="dxa"/>
            <w:vMerge/>
            <w:tcBorders>
              <w:top w:val="nil"/>
              <w:left w:val="single" w:sz="8" w:space="0" w:color="auto"/>
              <w:bottom w:val="single" w:sz="8" w:space="0" w:color="000000"/>
              <w:right w:val="single" w:sz="8" w:space="0" w:color="auto"/>
            </w:tcBorders>
            <w:vAlign w:val="center"/>
            <w:hideMark/>
          </w:tcPr>
          <w:p w:rsidR="00B50219" w:rsidRPr="0098062C" w:rsidRDefault="00B50219" w:rsidP="00B6079F">
            <w:pPr>
              <w:rPr>
                <w:rFonts w:ascii="Calibri" w:hAnsi="Calibri"/>
                <w:b/>
                <w:bCs/>
                <w:color w:val="000000"/>
                <w:sz w:val="16"/>
                <w:szCs w:val="16"/>
              </w:rPr>
            </w:pPr>
          </w:p>
        </w:tc>
        <w:tc>
          <w:tcPr>
            <w:tcW w:w="4720" w:type="dxa"/>
            <w:tcBorders>
              <w:top w:val="nil"/>
              <w:left w:val="nil"/>
              <w:bottom w:val="single" w:sz="4" w:space="0" w:color="auto"/>
              <w:right w:val="single" w:sz="4" w:space="0" w:color="auto"/>
            </w:tcBorders>
            <w:shd w:val="clear" w:color="auto" w:fill="auto"/>
            <w:noWrap/>
            <w:vAlign w:val="bottom"/>
            <w:hideMark/>
          </w:tcPr>
          <w:p w:rsidR="00B50219" w:rsidRPr="0098062C" w:rsidRDefault="00B50219" w:rsidP="00B6079F">
            <w:pPr>
              <w:rPr>
                <w:rFonts w:ascii="Calibri" w:hAnsi="Calibri"/>
                <w:color w:val="000000"/>
                <w:sz w:val="16"/>
                <w:szCs w:val="16"/>
              </w:rPr>
            </w:pPr>
            <w:r w:rsidRPr="0098062C">
              <w:rPr>
                <w:rFonts w:ascii="Calibri" w:hAnsi="Calibri"/>
                <w:color w:val="000000"/>
                <w:sz w:val="16"/>
                <w:szCs w:val="16"/>
              </w:rPr>
              <w:t>FI em Ações - Art. 8º, III</w:t>
            </w:r>
          </w:p>
        </w:tc>
        <w:tc>
          <w:tcPr>
            <w:tcW w:w="1120" w:type="dxa"/>
            <w:tcBorders>
              <w:top w:val="nil"/>
              <w:left w:val="single" w:sz="8" w:space="0" w:color="auto"/>
              <w:bottom w:val="single" w:sz="4" w:space="0" w:color="auto"/>
              <w:right w:val="single" w:sz="4" w:space="0" w:color="auto"/>
            </w:tcBorders>
            <w:shd w:val="clear" w:color="000000" w:fill="F2F2F2"/>
            <w:noWrap/>
            <w:vAlign w:val="center"/>
            <w:hideMark/>
          </w:tcPr>
          <w:p w:rsidR="00B50219" w:rsidRPr="0098062C" w:rsidRDefault="00B50219" w:rsidP="00B6079F">
            <w:pPr>
              <w:jc w:val="center"/>
              <w:rPr>
                <w:rFonts w:ascii="Calibri" w:hAnsi="Calibri"/>
                <w:color w:val="000000"/>
                <w:sz w:val="16"/>
                <w:szCs w:val="16"/>
              </w:rPr>
            </w:pPr>
            <w:r w:rsidRPr="0098062C">
              <w:rPr>
                <w:rFonts w:ascii="Calibri" w:hAnsi="Calibri"/>
                <w:color w:val="000000"/>
                <w:sz w:val="16"/>
                <w:szCs w:val="16"/>
              </w:rPr>
              <w:t>5,00%</w:t>
            </w:r>
          </w:p>
        </w:tc>
        <w:tc>
          <w:tcPr>
            <w:tcW w:w="1120" w:type="dxa"/>
            <w:tcBorders>
              <w:top w:val="nil"/>
              <w:left w:val="nil"/>
              <w:bottom w:val="single" w:sz="4" w:space="0" w:color="auto"/>
              <w:right w:val="single" w:sz="4" w:space="0" w:color="auto"/>
            </w:tcBorders>
            <w:shd w:val="clear" w:color="000000" w:fill="F2F2F2"/>
            <w:noWrap/>
            <w:vAlign w:val="center"/>
            <w:hideMark/>
          </w:tcPr>
          <w:p w:rsidR="00B50219" w:rsidRPr="0098062C" w:rsidRDefault="00B50219" w:rsidP="00B6079F">
            <w:pPr>
              <w:jc w:val="center"/>
              <w:rPr>
                <w:rFonts w:ascii="Calibri" w:hAnsi="Calibri"/>
                <w:color w:val="000000"/>
                <w:sz w:val="16"/>
                <w:szCs w:val="16"/>
              </w:rPr>
            </w:pPr>
            <w:r w:rsidRPr="0098062C">
              <w:rPr>
                <w:rFonts w:ascii="Calibri" w:hAnsi="Calibri"/>
                <w:color w:val="000000"/>
                <w:sz w:val="16"/>
                <w:szCs w:val="16"/>
              </w:rPr>
              <w:t>10,00%</w:t>
            </w:r>
          </w:p>
        </w:tc>
        <w:tc>
          <w:tcPr>
            <w:tcW w:w="1120" w:type="dxa"/>
            <w:tcBorders>
              <w:top w:val="nil"/>
              <w:left w:val="nil"/>
              <w:bottom w:val="single" w:sz="4" w:space="0" w:color="auto"/>
              <w:right w:val="single" w:sz="8" w:space="0" w:color="auto"/>
            </w:tcBorders>
            <w:shd w:val="clear" w:color="000000" w:fill="F2F2F2"/>
            <w:noWrap/>
            <w:vAlign w:val="center"/>
            <w:hideMark/>
          </w:tcPr>
          <w:p w:rsidR="00B50219" w:rsidRPr="0098062C" w:rsidRDefault="00B50219" w:rsidP="00B6079F">
            <w:pPr>
              <w:jc w:val="center"/>
              <w:rPr>
                <w:rFonts w:ascii="Calibri" w:hAnsi="Calibri"/>
                <w:color w:val="000000"/>
                <w:sz w:val="16"/>
                <w:szCs w:val="16"/>
              </w:rPr>
            </w:pPr>
            <w:r w:rsidRPr="0098062C">
              <w:rPr>
                <w:rFonts w:ascii="Calibri" w:hAnsi="Calibri"/>
                <w:color w:val="000000"/>
                <w:sz w:val="16"/>
                <w:szCs w:val="16"/>
              </w:rPr>
              <w:t>15,00%</w:t>
            </w:r>
          </w:p>
        </w:tc>
      </w:tr>
      <w:tr w:rsidR="00B50219" w:rsidRPr="0098062C" w:rsidTr="00B6079F">
        <w:trPr>
          <w:trHeight w:val="300"/>
        </w:trPr>
        <w:tc>
          <w:tcPr>
            <w:tcW w:w="820" w:type="dxa"/>
            <w:vMerge/>
            <w:tcBorders>
              <w:top w:val="nil"/>
              <w:left w:val="single" w:sz="8" w:space="0" w:color="auto"/>
              <w:bottom w:val="single" w:sz="8" w:space="0" w:color="000000"/>
              <w:right w:val="single" w:sz="8" w:space="0" w:color="auto"/>
            </w:tcBorders>
            <w:vAlign w:val="center"/>
            <w:hideMark/>
          </w:tcPr>
          <w:p w:rsidR="00B50219" w:rsidRPr="0098062C" w:rsidRDefault="00B50219" w:rsidP="00B6079F">
            <w:pPr>
              <w:rPr>
                <w:rFonts w:ascii="Calibri" w:hAnsi="Calibri"/>
                <w:b/>
                <w:bCs/>
                <w:color w:val="000000"/>
                <w:sz w:val="16"/>
                <w:szCs w:val="16"/>
              </w:rPr>
            </w:pPr>
          </w:p>
        </w:tc>
        <w:tc>
          <w:tcPr>
            <w:tcW w:w="4720" w:type="dxa"/>
            <w:tcBorders>
              <w:top w:val="nil"/>
              <w:left w:val="nil"/>
              <w:bottom w:val="single" w:sz="4" w:space="0" w:color="auto"/>
              <w:right w:val="single" w:sz="4" w:space="0" w:color="auto"/>
            </w:tcBorders>
            <w:shd w:val="clear" w:color="auto" w:fill="auto"/>
            <w:noWrap/>
            <w:vAlign w:val="bottom"/>
            <w:hideMark/>
          </w:tcPr>
          <w:p w:rsidR="00B50219" w:rsidRPr="0098062C" w:rsidRDefault="00B50219" w:rsidP="00B6079F">
            <w:pPr>
              <w:rPr>
                <w:rFonts w:ascii="Calibri" w:hAnsi="Calibri"/>
                <w:color w:val="000000"/>
                <w:sz w:val="16"/>
                <w:szCs w:val="16"/>
              </w:rPr>
            </w:pPr>
            <w:r w:rsidRPr="0098062C">
              <w:rPr>
                <w:rFonts w:ascii="Calibri" w:hAnsi="Calibri"/>
                <w:color w:val="000000"/>
                <w:sz w:val="16"/>
                <w:szCs w:val="16"/>
              </w:rPr>
              <w:t>FI Multimercado - aberto - Art. 8º, IV</w:t>
            </w:r>
          </w:p>
        </w:tc>
        <w:tc>
          <w:tcPr>
            <w:tcW w:w="1120" w:type="dxa"/>
            <w:tcBorders>
              <w:top w:val="nil"/>
              <w:left w:val="single" w:sz="8" w:space="0" w:color="auto"/>
              <w:bottom w:val="single" w:sz="4" w:space="0" w:color="auto"/>
              <w:right w:val="single" w:sz="4" w:space="0" w:color="auto"/>
            </w:tcBorders>
            <w:shd w:val="clear" w:color="000000" w:fill="F2F2F2"/>
            <w:noWrap/>
            <w:vAlign w:val="center"/>
            <w:hideMark/>
          </w:tcPr>
          <w:p w:rsidR="00B50219" w:rsidRPr="0098062C" w:rsidRDefault="00B50219" w:rsidP="00B6079F">
            <w:pPr>
              <w:jc w:val="center"/>
              <w:rPr>
                <w:rFonts w:ascii="Calibri" w:hAnsi="Calibri"/>
                <w:color w:val="000000"/>
                <w:sz w:val="16"/>
                <w:szCs w:val="16"/>
              </w:rPr>
            </w:pPr>
            <w:r w:rsidRPr="0098062C">
              <w:rPr>
                <w:rFonts w:ascii="Calibri" w:hAnsi="Calibri"/>
                <w:color w:val="000000"/>
                <w:sz w:val="16"/>
                <w:szCs w:val="16"/>
              </w:rPr>
              <w:t>2,00%</w:t>
            </w:r>
          </w:p>
        </w:tc>
        <w:tc>
          <w:tcPr>
            <w:tcW w:w="1120" w:type="dxa"/>
            <w:tcBorders>
              <w:top w:val="nil"/>
              <w:left w:val="nil"/>
              <w:bottom w:val="single" w:sz="4" w:space="0" w:color="auto"/>
              <w:right w:val="single" w:sz="4" w:space="0" w:color="auto"/>
            </w:tcBorders>
            <w:shd w:val="clear" w:color="000000" w:fill="F2F2F2"/>
            <w:noWrap/>
            <w:vAlign w:val="center"/>
            <w:hideMark/>
          </w:tcPr>
          <w:p w:rsidR="00B50219" w:rsidRPr="0098062C" w:rsidRDefault="00B50219" w:rsidP="00B6079F">
            <w:pPr>
              <w:jc w:val="center"/>
              <w:rPr>
                <w:rFonts w:ascii="Calibri" w:hAnsi="Calibri"/>
                <w:color w:val="000000"/>
                <w:sz w:val="16"/>
                <w:szCs w:val="16"/>
              </w:rPr>
            </w:pPr>
            <w:r w:rsidRPr="0098062C">
              <w:rPr>
                <w:rFonts w:ascii="Calibri" w:hAnsi="Calibri"/>
                <w:color w:val="000000"/>
                <w:sz w:val="16"/>
                <w:szCs w:val="16"/>
              </w:rPr>
              <w:t>5,00%</w:t>
            </w:r>
          </w:p>
        </w:tc>
        <w:tc>
          <w:tcPr>
            <w:tcW w:w="1120" w:type="dxa"/>
            <w:tcBorders>
              <w:top w:val="nil"/>
              <w:left w:val="nil"/>
              <w:bottom w:val="single" w:sz="4" w:space="0" w:color="auto"/>
              <w:right w:val="single" w:sz="8" w:space="0" w:color="auto"/>
            </w:tcBorders>
            <w:shd w:val="clear" w:color="000000" w:fill="F2F2F2"/>
            <w:noWrap/>
            <w:vAlign w:val="center"/>
            <w:hideMark/>
          </w:tcPr>
          <w:p w:rsidR="00B50219" w:rsidRPr="0098062C" w:rsidRDefault="00B50219" w:rsidP="00B6079F">
            <w:pPr>
              <w:jc w:val="center"/>
              <w:rPr>
                <w:rFonts w:ascii="Calibri" w:hAnsi="Calibri"/>
                <w:color w:val="000000"/>
                <w:sz w:val="16"/>
                <w:szCs w:val="16"/>
              </w:rPr>
            </w:pPr>
            <w:r w:rsidRPr="0098062C">
              <w:rPr>
                <w:rFonts w:ascii="Calibri" w:hAnsi="Calibri"/>
                <w:color w:val="000000"/>
                <w:sz w:val="16"/>
                <w:szCs w:val="16"/>
              </w:rPr>
              <w:t>5,00%</w:t>
            </w:r>
          </w:p>
        </w:tc>
      </w:tr>
      <w:tr w:rsidR="00B50219" w:rsidRPr="0098062C" w:rsidTr="00B6079F">
        <w:trPr>
          <w:trHeight w:val="300"/>
        </w:trPr>
        <w:tc>
          <w:tcPr>
            <w:tcW w:w="820" w:type="dxa"/>
            <w:vMerge/>
            <w:tcBorders>
              <w:top w:val="nil"/>
              <w:left w:val="single" w:sz="8" w:space="0" w:color="auto"/>
              <w:bottom w:val="single" w:sz="8" w:space="0" w:color="000000"/>
              <w:right w:val="single" w:sz="8" w:space="0" w:color="auto"/>
            </w:tcBorders>
            <w:vAlign w:val="center"/>
            <w:hideMark/>
          </w:tcPr>
          <w:p w:rsidR="00B50219" w:rsidRPr="0098062C" w:rsidRDefault="00B50219" w:rsidP="00B6079F">
            <w:pPr>
              <w:rPr>
                <w:rFonts w:ascii="Calibri" w:hAnsi="Calibri"/>
                <w:b/>
                <w:bCs/>
                <w:color w:val="000000"/>
                <w:sz w:val="16"/>
                <w:szCs w:val="16"/>
              </w:rPr>
            </w:pPr>
          </w:p>
        </w:tc>
        <w:tc>
          <w:tcPr>
            <w:tcW w:w="4720" w:type="dxa"/>
            <w:tcBorders>
              <w:top w:val="nil"/>
              <w:left w:val="nil"/>
              <w:bottom w:val="single" w:sz="4" w:space="0" w:color="auto"/>
              <w:right w:val="single" w:sz="4" w:space="0" w:color="auto"/>
            </w:tcBorders>
            <w:shd w:val="clear" w:color="auto" w:fill="auto"/>
            <w:noWrap/>
            <w:vAlign w:val="bottom"/>
            <w:hideMark/>
          </w:tcPr>
          <w:p w:rsidR="00B50219" w:rsidRPr="0098062C" w:rsidRDefault="00B50219" w:rsidP="00B6079F">
            <w:pPr>
              <w:rPr>
                <w:rFonts w:ascii="Calibri" w:hAnsi="Calibri"/>
                <w:color w:val="000000"/>
                <w:sz w:val="16"/>
                <w:szCs w:val="16"/>
              </w:rPr>
            </w:pPr>
            <w:r w:rsidRPr="0098062C">
              <w:rPr>
                <w:rFonts w:ascii="Calibri" w:hAnsi="Calibri"/>
                <w:color w:val="000000"/>
                <w:sz w:val="16"/>
                <w:szCs w:val="16"/>
              </w:rPr>
              <w:t>FI em Participações - fechado - Art. 8º, V</w:t>
            </w:r>
          </w:p>
        </w:tc>
        <w:tc>
          <w:tcPr>
            <w:tcW w:w="1120" w:type="dxa"/>
            <w:tcBorders>
              <w:top w:val="nil"/>
              <w:left w:val="single" w:sz="8" w:space="0" w:color="auto"/>
              <w:bottom w:val="single" w:sz="4" w:space="0" w:color="auto"/>
              <w:right w:val="single" w:sz="4" w:space="0" w:color="auto"/>
            </w:tcBorders>
            <w:shd w:val="clear" w:color="000000" w:fill="F2F2F2"/>
            <w:noWrap/>
            <w:vAlign w:val="center"/>
            <w:hideMark/>
          </w:tcPr>
          <w:p w:rsidR="00B50219" w:rsidRPr="0098062C" w:rsidRDefault="00B50219" w:rsidP="00B6079F">
            <w:pPr>
              <w:jc w:val="center"/>
              <w:rPr>
                <w:rFonts w:ascii="Calibri" w:hAnsi="Calibri"/>
                <w:color w:val="000000"/>
                <w:sz w:val="16"/>
                <w:szCs w:val="16"/>
              </w:rPr>
            </w:pPr>
            <w:r w:rsidRPr="0098062C">
              <w:rPr>
                <w:rFonts w:ascii="Calibri" w:hAnsi="Calibri"/>
                <w:color w:val="000000"/>
                <w:sz w:val="16"/>
                <w:szCs w:val="16"/>
              </w:rPr>
              <w:t>2,00%</w:t>
            </w:r>
          </w:p>
        </w:tc>
        <w:tc>
          <w:tcPr>
            <w:tcW w:w="1120" w:type="dxa"/>
            <w:tcBorders>
              <w:top w:val="nil"/>
              <w:left w:val="nil"/>
              <w:bottom w:val="single" w:sz="4" w:space="0" w:color="auto"/>
              <w:right w:val="single" w:sz="4" w:space="0" w:color="auto"/>
            </w:tcBorders>
            <w:shd w:val="clear" w:color="000000" w:fill="F2F2F2"/>
            <w:noWrap/>
            <w:vAlign w:val="center"/>
            <w:hideMark/>
          </w:tcPr>
          <w:p w:rsidR="00B50219" w:rsidRPr="0098062C" w:rsidRDefault="00B50219" w:rsidP="00B6079F">
            <w:pPr>
              <w:jc w:val="center"/>
              <w:rPr>
                <w:rFonts w:ascii="Calibri" w:hAnsi="Calibri"/>
                <w:color w:val="000000"/>
                <w:sz w:val="16"/>
                <w:szCs w:val="16"/>
              </w:rPr>
            </w:pPr>
            <w:r w:rsidRPr="0098062C">
              <w:rPr>
                <w:rFonts w:ascii="Calibri" w:hAnsi="Calibri"/>
                <w:color w:val="000000"/>
                <w:sz w:val="16"/>
                <w:szCs w:val="16"/>
              </w:rPr>
              <w:t>5,00%</w:t>
            </w:r>
          </w:p>
        </w:tc>
        <w:tc>
          <w:tcPr>
            <w:tcW w:w="1120" w:type="dxa"/>
            <w:tcBorders>
              <w:top w:val="nil"/>
              <w:left w:val="nil"/>
              <w:bottom w:val="single" w:sz="4" w:space="0" w:color="auto"/>
              <w:right w:val="single" w:sz="8" w:space="0" w:color="auto"/>
            </w:tcBorders>
            <w:shd w:val="clear" w:color="000000" w:fill="F2F2F2"/>
            <w:noWrap/>
            <w:vAlign w:val="center"/>
            <w:hideMark/>
          </w:tcPr>
          <w:p w:rsidR="00B50219" w:rsidRPr="0098062C" w:rsidRDefault="00B50219" w:rsidP="00B6079F">
            <w:pPr>
              <w:jc w:val="center"/>
              <w:rPr>
                <w:rFonts w:ascii="Calibri" w:hAnsi="Calibri"/>
                <w:color w:val="000000"/>
                <w:sz w:val="16"/>
                <w:szCs w:val="16"/>
              </w:rPr>
            </w:pPr>
            <w:r w:rsidRPr="0098062C">
              <w:rPr>
                <w:rFonts w:ascii="Calibri" w:hAnsi="Calibri"/>
                <w:color w:val="000000"/>
                <w:sz w:val="16"/>
                <w:szCs w:val="16"/>
              </w:rPr>
              <w:t>5,00%</w:t>
            </w:r>
          </w:p>
        </w:tc>
      </w:tr>
      <w:tr w:rsidR="00B50219" w:rsidRPr="0098062C" w:rsidTr="00B6079F">
        <w:trPr>
          <w:trHeight w:val="315"/>
        </w:trPr>
        <w:tc>
          <w:tcPr>
            <w:tcW w:w="820" w:type="dxa"/>
            <w:vMerge/>
            <w:tcBorders>
              <w:top w:val="nil"/>
              <w:left w:val="single" w:sz="8" w:space="0" w:color="auto"/>
              <w:bottom w:val="single" w:sz="8" w:space="0" w:color="000000"/>
              <w:right w:val="single" w:sz="8" w:space="0" w:color="auto"/>
            </w:tcBorders>
            <w:vAlign w:val="center"/>
            <w:hideMark/>
          </w:tcPr>
          <w:p w:rsidR="00B50219" w:rsidRPr="0098062C" w:rsidRDefault="00B50219" w:rsidP="00B6079F">
            <w:pPr>
              <w:rPr>
                <w:rFonts w:ascii="Calibri" w:hAnsi="Calibri"/>
                <w:b/>
                <w:bCs/>
                <w:color w:val="000000"/>
                <w:sz w:val="16"/>
                <w:szCs w:val="16"/>
              </w:rPr>
            </w:pPr>
          </w:p>
        </w:tc>
        <w:tc>
          <w:tcPr>
            <w:tcW w:w="4720" w:type="dxa"/>
            <w:tcBorders>
              <w:top w:val="nil"/>
              <w:left w:val="nil"/>
              <w:bottom w:val="nil"/>
              <w:right w:val="single" w:sz="4" w:space="0" w:color="auto"/>
            </w:tcBorders>
            <w:shd w:val="clear" w:color="auto" w:fill="auto"/>
            <w:noWrap/>
            <w:vAlign w:val="bottom"/>
            <w:hideMark/>
          </w:tcPr>
          <w:p w:rsidR="00B50219" w:rsidRPr="0098062C" w:rsidRDefault="00B50219" w:rsidP="00B6079F">
            <w:pPr>
              <w:rPr>
                <w:rFonts w:ascii="Calibri" w:hAnsi="Calibri"/>
                <w:color w:val="000000"/>
                <w:sz w:val="16"/>
                <w:szCs w:val="16"/>
              </w:rPr>
            </w:pPr>
            <w:r w:rsidRPr="0098062C">
              <w:rPr>
                <w:rFonts w:ascii="Calibri" w:hAnsi="Calibri"/>
                <w:color w:val="000000"/>
                <w:sz w:val="16"/>
                <w:szCs w:val="16"/>
              </w:rPr>
              <w:t>FI Imobiliário - cotas negociadas em bolsa - Art. 8º, VI</w:t>
            </w:r>
          </w:p>
        </w:tc>
        <w:tc>
          <w:tcPr>
            <w:tcW w:w="1120" w:type="dxa"/>
            <w:tcBorders>
              <w:top w:val="nil"/>
              <w:left w:val="single" w:sz="8" w:space="0" w:color="auto"/>
              <w:bottom w:val="nil"/>
              <w:right w:val="single" w:sz="4" w:space="0" w:color="auto"/>
            </w:tcBorders>
            <w:shd w:val="clear" w:color="000000" w:fill="F2F2F2"/>
            <w:noWrap/>
            <w:vAlign w:val="center"/>
            <w:hideMark/>
          </w:tcPr>
          <w:p w:rsidR="00B50219" w:rsidRPr="0098062C" w:rsidRDefault="00B50219" w:rsidP="00B6079F">
            <w:pPr>
              <w:jc w:val="center"/>
              <w:rPr>
                <w:rFonts w:ascii="Calibri" w:hAnsi="Calibri"/>
                <w:color w:val="000000"/>
                <w:sz w:val="16"/>
                <w:szCs w:val="16"/>
              </w:rPr>
            </w:pPr>
            <w:r w:rsidRPr="0098062C">
              <w:rPr>
                <w:rFonts w:ascii="Calibri" w:hAnsi="Calibri"/>
                <w:color w:val="000000"/>
                <w:sz w:val="16"/>
                <w:szCs w:val="16"/>
              </w:rPr>
              <w:t>2,00%</w:t>
            </w:r>
          </w:p>
        </w:tc>
        <w:tc>
          <w:tcPr>
            <w:tcW w:w="1120" w:type="dxa"/>
            <w:tcBorders>
              <w:top w:val="nil"/>
              <w:left w:val="nil"/>
              <w:bottom w:val="nil"/>
              <w:right w:val="single" w:sz="4" w:space="0" w:color="auto"/>
            </w:tcBorders>
            <w:shd w:val="clear" w:color="000000" w:fill="F2F2F2"/>
            <w:noWrap/>
            <w:vAlign w:val="center"/>
            <w:hideMark/>
          </w:tcPr>
          <w:p w:rsidR="00B50219" w:rsidRPr="0098062C" w:rsidRDefault="00B50219" w:rsidP="00B6079F">
            <w:pPr>
              <w:jc w:val="center"/>
              <w:rPr>
                <w:rFonts w:ascii="Calibri" w:hAnsi="Calibri"/>
                <w:color w:val="000000"/>
                <w:sz w:val="16"/>
                <w:szCs w:val="16"/>
              </w:rPr>
            </w:pPr>
            <w:r w:rsidRPr="0098062C">
              <w:rPr>
                <w:rFonts w:ascii="Calibri" w:hAnsi="Calibri"/>
                <w:color w:val="000000"/>
                <w:sz w:val="16"/>
                <w:szCs w:val="16"/>
              </w:rPr>
              <w:t>3,00%</w:t>
            </w:r>
          </w:p>
        </w:tc>
        <w:tc>
          <w:tcPr>
            <w:tcW w:w="1120" w:type="dxa"/>
            <w:tcBorders>
              <w:top w:val="nil"/>
              <w:left w:val="nil"/>
              <w:bottom w:val="nil"/>
              <w:right w:val="single" w:sz="8" w:space="0" w:color="auto"/>
            </w:tcBorders>
            <w:shd w:val="clear" w:color="000000" w:fill="F2F2F2"/>
            <w:noWrap/>
            <w:vAlign w:val="center"/>
            <w:hideMark/>
          </w:tcPr>
          <w:p w:rsidR="00B50219" w:rsidRPr="0098062C" w:rsidRDefault="00B50219" w:rsidP="00B6079F">
            <w:pPr>
              <w:jc w:val="center"/>
              <w:rPr>
                <w:rFonts w:ascii="Calibri" w:hAnsi="Calibri"/>
                <w:color w:val="000000"/>
                <w:sz w:val="16"/>
                <w:szCs w:val="16"/>
              </w:rPr>
            </w:pPr>
            <w:r w:rsidRPr="0098062C">
              <w:rPr>
                <w:rFonts w:ascii="Calibri" w:hAnsi="Calibri"/>
                <w:color w:val="000000"/>
                <w:sz w:val="16"/>
                <w:szCs w:val="16"/>
              </w:rPr>
              <w:t>5,00%</w:t>
            </w:r>
          </w:p>
        </w:tc>
      </w:tr>
      <w:tr w:rsidR="00B50219" w:rsidRPr="0098062C" w:rsidTr="00B6079F">
        <w:trPr>
          <w:trHeight w:val="315"/>
        </w:trPr>
        <w:tc>
          <w:tcPr>
            <w:tcW w:w="820" w:type="dxa"/>
            <w:vMerge/>
            <w:tcBorders>
              <w:top w:val="nil"/>
              <w:left w:val="single" w:sz="8" w:space="0" w:color="auto"/>
              <w:bottom w:val="single" w:sz="8" w:space="0" w:color="000000"/>
              <w:right w:val="single" w:sz="8" w:space="0" w:color="auto"/>
            </w:tcBorders>
            <w:vAlign w:val="center"/>
            <w:hideMark/>
          </w:tcPr>
          <w:p w:rsidR="00B50219" w:rsidRPr="0098062C" w:rsidRDefault="00B50219" w:rsidP="00B6079F">
            <w:pPr>
              <w:rPr>
                <w:rFonts w:ascii="Calibri" w:hAnsi="Calibri"/>
                <w:b/>
                <w:bCs/>
                <w:color w:val="000000"/>
                <w:sz w:val="16"/>
                <w:szCs w:val="16"/>
              </w:rPr>
            </w:pPr>
          </w:p>
        </w:tc>
        <w:tc>
          <w:tcPr>
            <w:tcW w:w="4720" w:type="dxa"/>
            <w:tcBorders>
              <w:top w:val="single" w:sz="8" w:space="0" w:color="auto"/>
              <w:left w:val="nil"/>
              <w:bottom w:val="single" w:sz="8" w:space="0" w:color="auto"/>
              <w:right w:val="single" w:sz="4" w:space="0" w:color="auto"/>
            </w:tcBorders>
            <w:shd w:val="clear" w:color="000000" w:fill="D9D9D9"/>
            <w:noWrap/>
            <w:vAlign w:val="center"/>
            <w:hideMark/>
          </w:tcPr>
          <w:p w:rsidR="00B50219" w:rsidRPr="0098062C" w:rsidRDefault="00B50219" w:rsidP="00B6079F">
            <w:pPr>
              <w:jc w:val="center"/>
              <w:rPr>
                <w:rFonts w:ascii="Calibri" w:hAnsi="Calibri"/>
                <w:b/>
                <w:bCs/>
                <w:color w:val="000000"/>
                <w:sz w:val="16"/>
                <w:szCs w:val="16"/>
              </w:rPr>
            </w:pPr>
            <w:r w:rsidRPr="0098062C">
              <w:rPr>
                <w:rFonts w:ascii="Calibri" w:hAnsi="Calibri"/>
                <w:b/>
                <w:bCs/>
                <w:color w:val="000000"/>
                <w:sz w:val="16"/>
                <w:szCs w:val="16"/>
              </w:rPr>
              <w:t>Subtotal</w:t>
            </w:r>
          </w:p>
        </w:tc>
        <w:tc>
          <w:tcPr>
            <w:tcW w:w="1120"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B50219" w:rsidRPr="0098062C" w:rsidRDefault="00B50219" w:rsidP="00B6079F">
            <w:pPr>
              <w:jc w:val="center"/>
              <w:rPr>
                <w:rFonts w:ascii="Calibri" w:hAnsi="Calibri"/>
                <w:b/>
                <w:bCs/>
                <w:color w:val="000000"/>
                <w:sz w:val="16"/>
                <w:szCs w:val="16"/>
              </w:rPr>
            </w:pPr>
            <w:r w:rsidRPr="0098062C">
              <w:rPr>
                <w:rFonts w:ascii="Calibri" w:hAnsi="Calibri"/>
                <w:b/>
                <w:bCs/>
                <w:color w:val="000000"/>
                <w:sz w:val="16"/>
                <w:szCs w:val="16"/>
              </w:rPr>
              <w:t>11,00%</w:t>
            </w:r>
          </w:p>
        </w:tc>
        <w:tc>
          <w:tcPr>
            <w:tcW w:w="1120" w:type="dxa"/>
            <w:tcBorders>
              <w:top w:val="single" w:sz="8" w:space="0" w:color="auto"/>
              <w:left w:val="nil"/>
              <w:bottom w:val="single" w:sz="8" w:space="0" w:color="auto"/>
              <w:right w:val="single" w:sz="4" w:space="0" w:color="auto"/>
            </w:tcBorders>
            <w:shd w:val="clear" w:color="000000" w:fill="D9D9D9"/>
            <w:noWrap/>
            <w:vAlign w:val="center"/>
            <w:hideMark/>
          </w:tcPr>
          <w:p w:rsidR="00B50219" w:rsidRPr="0098062C" w:rsidRDefault="00B50219" w:rsidP="00B6079F">
            <w:pPr>
              <w:jc w:val="center"/>
              <w:rPr>
                <w:rFonts w:ascii="Calibri" w:hAnsi="Calibri"/>
                <w:b/>
                <w:bCs/>
                <w:color w:val="000000"/>
                <w:sz w:val="16"/>
                <w:szCs w:val="16"/>
              </w:rPr>
            </w:pPr>
            <w:r w:rsidRPr="0098062C">
              <w:rPr>
                <w:rFonts w:ascii="Calibri" w:hAnsi="Calibri"/>
                <w:b/>
                <w:bCs/>
                <w:color w:val="000000"/>
                <w:sz w:val="16"/>
                <w:szCs w:val="16"/>
              </w:rPr>
              <w:t>25,00%</w:t>
            </w:r>
          </w:p>
        </w:tc>
        <w:tc>
          <w:tcPr>
            <w:tcW w:w="1120" w:type="dxa"/>
            <w:tcBorders>
              <w:top w:val="single" w:sz="8" w:space="0" w:color="auto"/>
              <w:left w:val="nil"/>
              <w:bottom w:val="single" w:sz="8" w:space="0" w:color="auto"/>
              <w:right w:val="single" w:sz="8" w:space="0" w:color="auto"/>
            </w:tcBorders>
            <w:shd w:val="clear" w:color="000000" w:fill="D9D9D9"/>
            <w:noWrap/>
            <w:vAlign w:val="center"/>
            <w:hideMark/>
          </w:tcPr>
          <w:p w:rsidR="00B50219" w:rsidRPr="0098062C" w:rsidRDefault="00B50219" w:rsidP="00B6079F">
            <w:pPr>
              <w:jc w:val="center"/>
              <w:rPr>
                <w:rFonts w:ascii="Calibri" w:hAnsi="Calibri"/>
                <w:b/>
                <w:bCs/>
                <w:color w:val="000000"/>
                <w:sz w:val="16"/>
                <w:szCs w:val="16"/>
              </w:rPr>
            </w:pPr>
            <w:r>
              <w:rPr>
                <w:rFonts w:ascii="Calibri" w:hAnsi="Calibri"/>
                <w:b/>
                <w:bCs/>
                <w:color w:val="000000"/>
                <w:sz w:val="16"/>
                <w:szCs w:val="16"/>
              </w:rPr>
              <w:t>32</w:t>
            </w:r>
            <w:r w:rsidRPr="0098062C">
              <w:rPr>
                <w:rFonts w:ascii="Calibri" w:hAnsi="Calibri"/>
                <w:b/>
                <w:bCs/>
                <w:color w:val="000000"/>
                <w:sz w:val="16"/>
                <w:szCs w:val="16"/>
              </w:rPr>
              <w:t>,00%</w:t>
            </w:r>
          </w:p>
        </w:tc>
      </w:tr>
      <w:tr w:rsidR="00B50219" w:rsidRPr="0098062C" w:rsidTr="00B6079F">
        <w:trPr>
          <w:trHeight w:val="315"/>
        </w:trPr>
        <w:tc>
          <w:tcPr>
            <w:tcW w:w="820" w:type="dxa"/>
            <w:tcBorders>
              <w:top w:val="nil"/>
              <w:left w:val="nil"/>
              <w:bottom w:val="nil"/>
              <w:right w:val="nil"/>
            </w:tcBorders>
            <w:shd w:val="clear" w:color="auto" w:fill="auto"/>
            <w:noWrap/>
            <w:vAlign w:val="bottom"/>
            <w:hideMark/>
          </w:tcPr>
          <w:p w:rsidR="00B50219" w:rsidRPr="0098062C" w:rsidRDefault="00B50219" w:rsidP="00B6079F">
            <w:pPr>
              <w:jc w:val="center"/>
              <w:rPr>
                <w:rFonts w:ascii="Calibri" w:hAnsi="Calibri"/>
                <w:b/>
                <w:bCs/>
                <w:color w:val="000000"/>
                <w:sz w:val="16"/>
                <w:szCs w:val="16"/>
              </w:rPr>
            </w:pPr>
          </w:p>
        </w:tc>
        <w:tc>
          <w:tcPr>
            <w:tcW w:w="4720" w:type="dxa"/>
            <w:tcBorders>
              <w:top w:val="nil"/>
              <w:left w:val="single" w:sz="8" w:space="0" w:color="auto"/>
              <w:bottom w:val="single" w:sz="8" w:space="0" w:color="auto"/>
              <w:right w:val="single" w:sz="4" w:space="0" w:color="auto"/>
            </w:tcBorders>
            <w:shd w:val="clear" w:color="000000" w:fill="A6A6A6"/>
            <w:noWrap/>
            <w:vAlign w:val="center"/>
            <w:hideMark/>
          </w:tcPr>
          <w:p w:rsidR="00B50219" w:rsidRPr="0098062C" w:rsidRDefault="00B50219" w:rsidP="00B6079F">
            <w:pPr>
              <w:jc w:val="center"/>
              <w:rPr>
                <w:rFonts w:ascii="Calibri" w:hAnsi="Calibri"/>
                <w:b/>
                <w:bCs/>
                <w:color w:val="000000"/>
                <w:sz w:val="16"/>
                <w:szCs w:val="16"/>
              </w:rPr>
            </w:pPr>
            <w:r w:rsidRPr="0098062C">
              <w:rPr>
                <w:rFonts w:ascii="Calibri" w:hAnsi="Calibri"/>
                <w:b/>
                <w:bCs/>
                <w:color w:val="000000"/>
                <w:sz w:val="16"/>
                <w:szCs w:val="16"/>
              </w:rPr>
              <w:t>Total Geral</w:t>
            </w:r>
          </w:p>
        </w:tc>
        <w:tc>
          <w:tcPr>
            <w:tcW w:w="1120" w:type="dxa"/>
            <w:tcBorders>
              <w:top w:val="nil"/>
              <w:left w:val="single" w:sz="8" w:space="0" w:color="auto"/>
              <w:bottom w:val="single" w:sz="8" w:space="0" w:color="auto"/>
              <w:right w:val="single" w:sz="4" w:space="0" w:color="auto"/>
            </w:tcBorders>
            <w:shd w:val="clear" w:color="000000" w:fill="A6A6A6"/>
            <w:noWrap/>
            <w:vAlign w:val="center"/>
            <w:hideMark/>
          </w:tcPr>
          <w:p w:rsidR="00B50219" w:rsidRPr="0098062C" w:rsidRDefault="00B50219" w:rsidP="00B6079F">
            <w:pPr>
              <w:jc w:val="center"/>
              <w:rPr>
                <w:rFonts w:ascii="Calibri" w:hAnsi="Calibri"/>
                <w:b/>
                <w:bCs/>
                <w:color w:val="000000"/>
                <w:sz w:val="16"/>
                <w:szCs w:val="16"/>
              </w:rPr>
            </w:pPr>
            <w:r w:rsidRPr="0098062C">
              <w:rPr>
                <w:rFonts w:ascii="Calibri" w:hAnsi="Calibri"/>
                <w:b/>
                <w:bCs/>
                <w:color w:val="000000"/>
                <w:sz w:val="16"/>
                <w:szCs w:val="16"/>
              </w:rPr>
              <w:t>66,00%</w:t>
            </w:r>
          </w:p>
        </w:tc>
        <w:tc>
          <w:tcPr>
            <w:tcW w:w="1120" w:type="dxa"/>
            <w:tcBorders>
              <w:top w:val="nil"/>
              <w:left w:val="nil"/>
              <w:bottom w:val="single" w:sz="8" w:space="0" w:color="auto"/>
              <w:right w:val="single" w:sz="4" w:space="0" w:color="auto"/>
            </w:tcBorders>
            <w:shd w:val="clear" w:color="000000" w:fill="A6A6A6"/>
            <w:noWrap/>
            <w:vAlign w:val="center"/>
            <w:hideMark/>
          </w:tcPr>
          <w:p w:rsidR="00B50219" w:rsidRPr="0098062C" w:rsidRDefault="00B50219" w:rsidP="00B6079F">
            <w:pPr>
              <w:jc w:val="center"/>
              <w:rPr>
                <w:rFonts w:ascii="Calibri" w:hAnsi="Calibri"/>
                <w:b/>
                <w:bCs/>
                <w:color w:val="000000"/>
                <w:sz w:val="16"/>
                <w:szCs w:val="16"/>
              </w:rPr>
            </w:pPr>
            <w:r w:rsidRPr="0098062C">
              <w:rPr>
                <w:rFonts w:ascii="Calibri" w:hAnsi="Calibri"/>
                <w:b/>
                <w:bCs/>
                <w:color w:val="000000"/>
                <w:sz w:val="16"/>
                <w:szCs w:val="16"/>
              </w:rPr>
              <w:t>100,00%</w:t>
            </w:r>
          </w:p>
        </w:tc>
        <w:tc>
          <w:tcPr>
            <w:tcW w:w="1120" w:type="dxa"/>
            <w:tcBorders>
              <w:top w:val="nil"/>
              <w:left w:val="nil"/>
              <w:bottom w:val="single" w:sz="8" w:space="0" w:color="auto"/>
              <w:right w:val="single" w:sz="8" w:space="0" w:color="auto"/>
            </w:tcBorders>
            <w:shd w:val="clear" w:color="000000" w:fill="A6A6A6"/>
            <w:noWrap/>
            <w:vAlign w:val="center"/>
            <w:hideMark/>
          </w:tcPr>
          <w:p w:rsidR="00B50219" w:rsidRPr="0098062C" w:rsidRDefault="00B50219" w:rsidP="00B6079F">
            <w:pPr>
              <w:jc w:val="center"/>
              <w:rPr>
                <w:rFonts w:ascii="Calibri" w:hAnsi="Calibri"/>
                <w:b/>
                <w:bCs/>
                <w:color w:val="000000"/>
                <w:sz w:val="16"/>
                <w:szCs w:val="16"/>
              </w:rPr>
            </w:pPr>
            <w:r>
              <w:rPr>
                <w:rFonts w:ascii="Calibri" w:hAnsi="Calibri"/>
                <w:b/>
                <w:bCs/>
                <w:color w:val="000000"/>
                <w:sz w:val="16"/>
                <w:szCs w:val="16"/>
              </w:rPr>
              <w:t>217</w:t>
            </w:r>
            <w:r w:rsidRPr="0098062C">
              <w:rPr>
                <w:rFonts w:ascii="Calibri" w:hAnsi="Calibri"/>
                <w:b/>
                <w:bCs/>
                <w:color w:val="000000"/>
                <w:sz w:val="16"/>
                <w:szCs w:val="16"/>
              </w:rPr>
              <w:t>,00%</w:t>
            </w:r>
          </w:p>
        </w:tc>
      </w:tr>
    </w:tbl>
    <w:p w:rsidR="00B50219" w:rsidRPr="001A464C" w:rsidRDefault="00B50219" w:rsidP="00B50219">
      <w:pPr>
        <w:spacing w:beforeLines="120" w:before="288"/>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A estratégia de alocação para os próximos cinco anos, leva em consideração não somente o cenário macroeconômico como também as especificidades da estratégia definida pelo resultado da análise do fluxo de caixa atuarial e as projeções futuras de déficit e/ou superávit.</w:t>
      </w:r>
    </w:p>
    <w:p w:rsidR="00B50219" w:rsidRDefault="00B50219" w:rsidP="00B50219">
      <w:pPr>
        <w:spacing w:beforeLines="120" w:before="288"/>
        <w:jc w:val="both"/>
        <w:rPr>
          <w:rFonts w:asciiTheme="majorHAnsi" w:hAnsiTheme="majorHAnsi"/>
          <w:bCs/>
          <w:color w:val="7F7F7F" w:themeColor="text1" w:themeTint="80"/>
          <w:sz w:val="20"/>
          <w:szCs w:val="20"/>
        </w:rPr>
      </w:pPr>
    </w:p>
    <w:p w:rsidR="00B50219" w:rsidRDefault="00B50219" w:rsidP="00B50219">
      <w:pPr>
        <w:spacing w:beforeLines="120" w:before="288"/>
        <w:jc w:val="center"/>
        <w:rPr>
          <w:rFonts w:asciiTheme="majorHAnsi" w:eastAsiaTheme="majorEastAsia" w:hAnsiTheme="majorHAnsi" w:cstheme="majorBidi"/>
          <w:b/>
          <w:sz w:val="20"/>
          <w:szCs w:val="20"/>
        </w:rPr>
      </w:pPr>
      <w:r w:rsidRPr="001A464C">
        <w:rPr>
          <w:rFonts w:asciiTheme="majorHAnsi" w:eastAsiaTheme="majorEastAsia" w:hAnsiTheme="majorHAnsi" w:cstheme="majorBidi"/>
          <w:b/>
          <w:sz w:val="20"/>
          <w:szCs w:val="20"/>
        </w:rPr>
        <w:t>Alocação Estratégica para os próximos cinco anos</w:t>
      </w:r>
    </w:p>
    <w:p w:rsidR="00B50219" w:rsidRDefault="00B50219" w:rsidP="00B50219">
      <w:pPr>
        <w:spacing w:beforeLines="120" w:before="288"/>
        <w:jc w:val="center"/>
        <w:rPr>
          <w:rFonts w:asciiTheme="majorHAnsi" w:eastAsiaTheme="majorEastAsia" w:hAnsiTheme="majorHAnsi" w:cstheme="majorBidi"/>
          <w:b/>
          <w:sz w:val="20"/>
          <w:szCs w:val="20"/>
        </w:rPr>
      </w:pPr>
    </w:p>
    <w:tbl>
      <w:tblPr>
        <w:tblW w:w="8860" w:type="dxa"/>
        <w:tblInd w:w="70" w:type="dxa"/>
        <w:tblCellMar>
          <w:left w:w="70" w:type="dxa"/>
          <w:right w:w="70" w:type="dxa"/>
        </w:tblCellMar>
        <w:tblLook w:val="04A0" w:firstRow="1" w:lastRow="0" w:firstColumn="1" w:lastColumn="0" w:noHBand="0" w:noVBand="1"/>
      </w:tblPr>
      <w:tblGrid>
        <w:gridCol w:w="820"/>
        <w:gridCol w:w="4720"/>
        <w:gridCol w:w="1660"/>
        <w:gridCol w:w="1660"/>
      </w:tblGrid>
      <w:tr w:rsidR="00B50219" w:rsidRPr="0098062C" w:rsidTr="00B6079F">
        <w:trPr>
          <w:trHeight w:val="555"/>
        </w:trPr>
        <w:tc>
          <w:tcPr>
            <w:tcW w:w="820" w:type="dxa"/>
            <w:tcBorders>
              <w:top w:val="nil"/>
              <w:left w:val="nil"/>
              <w:bottom w:val="nil"/>
              <w:right w:val="nil"/>
            </w:tcBorders>
            <w:shd w:val="clear" w:color="auto" w:fill="auto"/>
            <w:noWrap/>
            <w:vAlign w:val="bottom"/>
            <w:hideMark/>
          </w:tcPr>
          <w:p w:rsidR="00B50219" w:rsidRPr="0098062C" w:rsidRDefault="00B50219" w:rsidP="00B6079F"/>
        </w:tc>
        <w:tc>
          <w:tcPr>
            <w:tcW w:w="4720" w:type="dxa"/>
            <w:tcBorders>
              <w:top w:val="nil"/>
              <w:left w:val="nil"/>
              <w:bottom w:val="nil"/>
              <w:right w:val="nil"/>
            </w:tcBorders>
            <w:shd w:val="clear" w:color="auto" w:fill="auto"/>
            <w:noWrap/>
            <w:vAlign w:val="bottom"/>
            <w:hideMark/>
          </w:tcPr>
          <w:p w:rsidR="00B50219" w:rsidRPr="0098062C" w:rsidRDefault="00B50219" w:rsidP="00B6079F">
            <w:pPr>
              <w:rPr>
                <w:sz w:val="20"/>
                <w:szCs w:val="20"/>
              </w:rPr>
            </w:pPr>
          </w:p>
        </w:tc>
        <w:tc>
          <w:tcPr>
            <w:tcW w:w="3320"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B50219" w:rsidRPr="0098062C" w:rsidRDefault="00B50219" w:rsidP="00B6079F">
            <w:pPr>
              <w:jc w:val="center"/>
              <w:rPr>
                <w:rFonts w:ascii="Calibri" w:hAnsi="Calibri"/>
                <w:b/>
                <w:bCs/>
                <w:color w:val="000000"/>
                <w:sz w:val="16"/>
                <w:szCs w:val="16"/>
              </w:rPr>
            </w:pPr>
            <w:r w:rsidRPr="0098062C">
              <w:rPr>
                <w:rFonts w:ascii="Calibri" w:hAnsi="Calibri"/>
                <w:b/>
                <w:bCs/>
                <w:color w:val="000000"/>
                <w:sz w:val="16"/>
                <w:szCs w:val="16"/>
              </w:rPr>
              <w:t>Estratégia de Alocação - para os próximos cinco exercícios</w:t>
            </w:r>
          </w:p>
        </w:tc>
      </w:tr>
      <w:tr w:rsidR="00B50219" w:rsidRPr="0098062C" w:rsidTr="00B6079F">
        <w:trPr>
          <w:trHeight w:val="465"/>
        </w:trPr>
        <w:tc>
          <w:tcPr>
            <w:tcW w:w="82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B50219" w:rsidRPr="0098062C" w:rsidRDefault="00B50219" w:rsidP="00B6079F">
            <w:pPr>
              <w:jc w:val="center"/>
              <w:rPr>
                <w:rFonts w:ascii="Calibri" w:hAnsi="Calibri"/>
                <w:b/>
                <w:bCs/>
                <w:color w:val="000000"/>
                <w:sz w:val="16"/>
                <w:szCs w:val="16"/>
              </w:rPr>
            </w:pPr>
            <w:r w:rsidRPr="0098062C">
              <w:rPr>
                <w:rFonts w:ascii="Calibri" w:hAnsi="Calibri"/>
                <w:b/>
                <w:bCs/>
                <w:color w:val="000000"/>
                <w:sz w:val="16"/>
                <w:szCs w:val="16"/>
              </w:rPr>
              <w:t>Segmento</w:t>
            </w:r>
          </w:p>
        </w:tc>
        <w:tc>
          <w:tcPr>
            <w:tcW w:w="4720" w:type="dxa"/>
            <w:tcBorders>
              <w:top w:val="single" w:sz="8" w:space="0" w:color="auto"/>
              <w:left w:val="nil"/>
              <w:bottom w:val="single" w:sz="8" w:space="0" w:color="auto"/>
              <w:right w:val="single" w:sz="4" w:space="0" w:color="auto"/>
            </w:tcBorders>
            <w:shd w:val="clear" w:color="000000" w:fill="D9D9D9"/>
            <w:vAlign w:val="center"/>
            <w:hideMark/>
          </w:tcPr>
          <w:p w:rsidR="00B50219" w:rsidRPr="0098062C" w:rsidRDefault="00B50219" w:rsidP="00B6079F">
            <w:pPr>
              <w:jc w:val="center"/>
              <w:rPr>
                <w:rFonts w:ascii="Calibri" w:hAnsi="Calibri"/>
                <w:b/>
                <w:bCs/>
                <w:color w:val="000000"/>
                <w:sz w:val="16"/>
                <w:szCs w:val="16"/>
              </w:rPr>
            </w:pPr>
            <w:r w:rsidRPr="0098062C">
              <w:rPr>
                <w:rFonts w:ascii="Calibri" w:hAnsi="Calibri"/>
                <w:b/>
                <w:bCs/>
                <w:color w:val="000000"/>
                <w:sz w:val="16"/>
                <w:szCs w:val="16"/>
              </w:rPr>
              <w:t>Tipo de Ativo</w:t>
            </w:r>
          </w:p>
        </w:tc>
        <w:tc>
          <w:tcPr>
            <w:tcW w:w="1660" w:type="dxa"/>
            <w:tcBorders>
              <w:top w:val="nil"/>
              <w:left w:val="nil"/>
              <w:bottom w:val="single" w:sz="8" w:space="0" w:color="auto"/>
              <w:right w:val="single" w:sz="4" w:space="0" w:color="auto"/>
            </w:tcBorders>
            <w:shd w:val="clear" w:color="000000" w:fill="D9D9D9"/>
            <w:vAlign w:val="center"/>
            <w:hideMark/>
          </w:tcPr>
          <w:p w:rsidR="00B50219" w:rsidRPr="0098062C" w:rsidRDefault="00B50219" w:rsidP="00B6079F">
            <w:pPr>
              <w:jc w:val="center"/>
              <w:rPr>
                <w:rFonts w:ascii="Calibri" w:hAnsi="Calibri"/>
                <w:b/>
                <w:bCs/>
                <w:color w:val="000000"/>
                <w:sz w:val="16"/>
                <w:szCs w:val="16"/>
              </w:rPr>
            </w:pPr>
            <w:r w:rsidRPr="0098062C">
              <w:rPr>
                <w:rFonts w:ascii="Calibri" w:hAnsi="Calibri"/>
                <w:b/>
                <w:bCs/>
                <w:color w:val="000000"/>
                <w:sz w:val="16"/>
                <w:szCs w:val="16"/>
              </w:rPr>
              <w:t>Limite Inferior (%)</w:t>
            </w:r>
          </w:p>
        </w:tc>
        <w:tc>
          <w:tcPr>
            <w:tcW w:w="1660" w:type="dxa"/>
            <w:tcBorders>
              <w:top w:val="nil"/>
              <w:left w:val="nil"/>
              <w:bottom w:val="single" w:sz="8" w:space="0" w:color="auto"/>
              <w:right w:val="single" w:sz="8" w:space="0" w:color="auto"/>
            </w:tcBorders>
            <w:shd w:val="clear" w:color="000000" w:fill="D9D9D9"/>
            <w:vAlign w:val="center"/>
            <w:hideMark/>
          </w:tcPr>
          <w:p w:rsidR="00B50219" w:rsidRPr="0098062C" w:rsidRDefault="00B50219" w:rsidP="00B6079F">
            <w:pPr>
              <w:jc w:val="center"/>
              <w:rPr>
                <w:rFonts w:ascii="Calibri" w:hAnsi="Calibri"/>
                <w:b/>
                <w:bCs/>
                <w:color w:val="000000"/>
                <w:sz w:val="16"/>
                <w:szCs w:val="16"/>
              </w:rPr>
            </w:pPr>
            <w:r w:rsidRPr="0098062C">
              <w:rPr>
                <w:rFonts w:ascii="Calibri" w:hAnsi="Calibri"/>
                <w:b/>
                <w:bCs/>
                <w:color w:val="000000"/>
                <w:sz w:val="16"/>
                <w:szCs w:val="16"/>
              </w:rPr>
              <w:t>Limite Superior (%)</w:t>
            </w:r>
          </w:p>
        </w:tc>
      </w:tr>
      <w:tr w:rsidR="00B50219" w:rsidRPr="0098062C" w:rsidTr="00B6079F">
        <w:trPr>
          <w:trHeight w:val="300"/>
        </w:trPr>
        <w:tc>
          <w:tcPr>
            <w:tcW w:w="82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B50219" w:rsidRPr="0098062C" w:rsidRDefault="00B50219" w:rsidP="00B6079F">
            <w:pPr>
              <w:jc w:val="center"/>
              <w:rPr>
                <w:rFonts w:ascii="Calibri" w:hAnsi="Calibri"/>
                <w:b/>
                <w:bCs/>
                <w:color w:val="000000"/>
                <w:sz w:val="16"/>
                <w:szCs w:val="16"/>
              </w:rPr>
            </w:pPr>
            <w:r w:rsidRPr="0098062C">
              <w:rPr>
                <w:rFonts w:ascii="Calibri" w:hAnsi="Calibri"/>
                <w:b/>
                <w:bCs/>
                <w:color w:val="000000"/>
                <w:sz w:val="16"/>
                <w:szCs w:val="16"/>
              </w:rPr>
              <w:t>Renda Fixa</w:t>
            </w:r>
          </w:p>
        </w:tc>
        <w:tc>
          <w:tcPr>
            <w:tcW w:w="4720" w:type="dxa"/>
            <w:tcBorders>
              <w:top w:val="nil"/>
              <w:left w:val="nil"/>
              <w:bottom w:val="single" w:sz="4" w:space="0" w:color="auto"/>
              <w:right w:val="single" w:sz="4" w:space="0" w:color="auto"/>
            </w:tcBorders>
            <w:shd w:val="clear" w:color="auto" w:fill="auto"/>
            <w:noWrap/>
            <w:vAlign w:val="bottom"/>
            <w:hideMark/>
          </w:tcPr>
          <w:p w:rsidR="00B50219" w:rsidRPr="0098062C" w:rsidRDefault="00B50219" w:rsidP="00B6079F">
            <w:pPr>
              <w:rPr>
                <w:rFonts w:ascii="Calibri" w:hAnsi="Calibri"/>
                <w:color w:val="000000"/>
                <w:sz w:val="16"/>
                <w:szCs w:val="16"/>
              </w:rPr>
            </w:pPr>
            <w:r w:rsidRPr="0098062C">
              <w:rPr>
                <w:rFonts w:ascii="Calibri" w:hAnsi="Calibri"/>
                <w:color w:val="000000"/>
                <w:sz w:val="16"/>
                <w:szCs w:val="16"/>
              </w:rPr>
              <w:t>Títulos Tesouro Nacional – SELIC - Art. 7º, I, “a”.</w:t>
            </w:r>
          </w:p>
        </w:tc>
        <w:tc>
          <w:tcPr>
            <w:tcW w:w="1660" w:type="dxa"/>
            <w:tcBorders>
              <w:top w:val="nil"/>
              <w:left w:val="nil"/>
              <w:bottom w:val="single" w:sz="4" w:space="0" w:color="auto"/>
              <w:right w:val="single" w:sz="4" w:space="0" w:color="auto"/>
            </w:tcBorders>
            <w:shd w:val="clear" w:color="000000" w:fill="F2F2F2"/>
            <w:noWrap/>
            <w:vAlign w:val="center"/>
            <w:hideMark/>
          </w:tcPr>
          <w:p w:rsidR="00B50219" w:rsidRPr="0098062C" w:rsidRDefault="00B50219" w:rsidP="00B6079F">
            <w:pPr>
              <w:jc w:val="center"/>
              <w:rPr>
                <w:rFonts w:ascii="Calibri" w:hAnsi="Calibri"/>
                <w:color w:val="000000"/>
                <w:sz w:val="16"/>
                <w:szCs w:val="16"/>
              </w:rPr>
            </w:pPr>
            <w:r w:rsidRPr="0098062C">
              <w:rPr>
                <w:rFonts w:ascii="Calibri" w:hAnsi="Calibri"/>
                <w:color w:val="000000"/>
                <w:sz w:val="16"/>
                <w:szCs w:val="16"/>
              </w:rPr>
              <w:t>0,00%</w:t>
            </w:r>
          </w:p>
        </w:tc>
        <w:tc>
          <w:tcPr>
            <w:tcW w:w="1660" w:type="dxa"/>
            <w:tcBorders>
              <w:top w:val="nil"/>
              <w:left w:val="nil"/>
              <w:bottom w:val="single" w:sz="4" w:space="0" w:color="auto"/>
              <w:right w:val="single" w:sz="8" w:space="0" w:color="auto"/>
            </w:tcBorders>
            <w:shd w:val="clear" w:color="000000" w:fill="F2F2F2"/>
            <w:noWrap/>
            <w:vAlign w:val="center"/>
            <w:hideMark/>
          </w:tcPr>
          <w:p w:rsidR="00B50219" w:rsidRPr="0098062C" w:rsidRDefault="00B50219" w:rsidP="00B6079F">
            <w:pPr>
              <w:jc w:val="center"/>
              <w:rPr>
                <w:rFonts w:ascii="Calibri" w:hAnsi="Calibri"/>
                <w:color w:val="000000"/>
                <w:sz w:val="16"/>
                <w:szCs w:val="16"/>
              </w:rPr>
            </w:pPr>
            <w:r w:rsidRPr="0098062C">
              <w:rPr>
                <w:rFonts w:ascii="Calibri" w:hAnsi="Calibri"/>
                <w:color w:val="000000"/>
                <w:sz w:val="16"/>
                <w:szCs w:val="16"/>
              </w:rPr>
              <w:t>0,00%</w:t>
            </w:r>
          </w:p>
        </w:tc>
      </w:tr>
      <w:tr w:rsidR="00B50219" w:rsidRPr="0098062C" w:rsidTr="00B6079F">
        <w:trPr>
          <w:trHeight w:val="300"/>
        </w:trPr>
        <w:tc>
          <w:tcPr>
            <w:tcW w:w="820" w:type="dxa"/>
            <w:vMerge/>
            <w:tcBorders>
              <w:top w:val="nil"/>
              <w:left w:val="single" w:sz="8" w:space="0" w:color="auto"/>
              <w:bottom w:val="single" w:sz="8" w:space="0" w:color="000000"/>
              <w:right w:val="single" w:sz="8" w:space="0" w:color="auto"/>
            </w:tcBorders>
            <w:vAlign w:val="center"/>
            <w:hideMark/>
          </w:tcPr>
          <w:p w:rsidR="00B50219" w:rsidRPr="0098062C" w:rsidRDefault="00B50219" w:rsidP="00B6079F">
            <w:pPr>
              <w:rPr>
                <w:rFonts w:ascii="Calibri" w:hAnsi="Calibri"/>
                <w:b/>
                <w:bCs/>
                <w:color w:val="000000"/>
                <w:sz w:val="16"/>
                <w:szCs w:val="16"/>
              </w:rPr>
            </w:pPr>
          </w:p>
        </w:tc>
        <w:tc>
          <w:tcPr>
            <w:tcW w:w="4720" w:type="dxa"/>
            <w:tcBorders>
              <w:top w:val="nil"/>
              <w:left w:val="nil"/>
              <w:bottom w:val="single" w:sz="4" w:space="0" w:color="auto"/>
              <w:right w:val="single" w:sz="4" w:space="0" w:color="auto"/>
            </w:tcBorders>
            <w:shd w:val="clear" w:color="auto" w:fill="auto"/>
            <w:noWrap/>
            <w:vAlign w:val="bottom"/>
            <w:hideMark/>
          </w:tcPr>
          <w:p w:rsidR="00B50219" w:rsidRPr="0098062C" w:rsidRDefault="00B50219" w:rsidP="00B6079F">
            <w:pPr>
              <w:rPr>
                <w:rFonts w:ascii="Calibri" w:hAnsi="Calibri"/>
                <w:color w:val="000000"/>
                <w:sz w:val="16"/>
                <w:szCs w:val="16"/>
              </w:rPr>
            </w:pPr>
            <w:r w:rsidRPr="0098062C">
              <w:rPr>
                <w:rFonts w:ascii="Calibri" w:hAnsi="Calibri"/>
                <w:color w:val="000000"/>
                <w:sz w:val="16"/>
                <w:szCs w:val="16"/>
              </w:rPr>
              <w:t>FI 100% títulos TN - Art. 7º, I, "b"</w:t>
            </w:r>
          </w:p>
        </w:tc>
        <w:tc>
          <w:tcPr>
            <w:tcW w:w="1660" w:type="dxa"/>
            <w:tcBorders>
              <w:top w:val="nil"/>
              <w:left w:val="nil"/>
              <w:bottom w:val="single" w:sz="4" w:space="0" w:color="auto"/>
              <w:right w:val="single" w:sz="4" w:space="0" w:color="auto"/>
            </w:tcBorders>
            <w:shd w:val="clear" w:color="000000" w:fill="F2F2F2"/>
            <w:noWrap/>
            <w:vAlign w:val="center"/>
            <w:hideMark/>
          </w:tcPr>
          <w:p w:rsidR="00B50219" w:rsidRPr="0098062C" w:rsidRDefault="00B50219" w:rsidP="00B6079F">
            <w:pPr>
              <w:jc w:val="center"/>
              <w:rPr>
                <w:rFonts w:ascii="Calibri" w:hAnsi="Calibri"/>
                <w:color w:val="000000"/>
                <w:sz w:val="16"/>
                <w:szCs w:val="16"/>
              </w:rPr>
            </w:pPr>
            <w:r w:rsidRPr="0098062C">
              <w:rPr>
                <w:rFonts w:ascii="Calibri" w:hAnsi="Calibri"/>
                <w:color w:val="000000"/>
                <w:sz w:val="16"/>
                <w:szCs w:val="16"/>
              </w:rPr>
              <w:t>30,00%</w:t>
            </w:r>
          </w:p>
        </w:tc>
        <w:tc>
          <w:tcPr>
            <w:tcW w:w="1660" w:type="dxa"/>
            <w:tcBorders>
              <w:top w:val="nil"/>
              <w:left w:val="nil"/>
              <w:bottom w:val="single" w:sz="4" w:space="0" w:color="auto"/>
              <w:right w:val="single" w:sz="8" w:space="0" w:color="auto"/>
            </w:tcBorders>
            <w:shd w:val="clear" w:color="000000" w:fill="F2F2F2"/>
            <w:noWrap/>
            <w:vAlign w:val="center"/>
            <w:hideMark/>
          </w:tcPr>
          <w:p w:rsidR="00B50219" w:rsidRPr="0098062C" w:rsidRDefault="00B50219" w:rsidP="00B6079F">
            <w:pPr>
              <w:jc w:val="center"/>
              <w:rPr>
                <w:rFonts w:ascii="Calibri" w:hAnsi="Calibri"/>
                <w:color w:val="000000"/>
                <w:sz w:val="16"/>
                <w:szCs w:val="16"/>
              </w:rPr>
            </w:pPr>
            <w:r w:rsidRPr="0098062C">
              <w:rPr>
                <w:rFonts w:ascii="Calibri" w:hAnsi="Calibri"/>
                <w:color w:val="000000"/>
                <w:sz w:val="16"/>
                <w:szCs w:val="16"/>
              </w:rPr>
              <w:t>80,00%</w:t>
            </w:r>
          </w:p>
        </w:tc>
      </w:tr>
      <w:tr w:rsidR="00B50219" w:rsidRPr="0098062C" w:rsidTr="00B6079F">
        <w:trPr>
          <w:trHeight w:val="300"/>
        </w:trPr>
        <w:tc>
          <w:tcPr>
            <w:tcW w:w="820" w:type="dxa"/>
            <w:vMerge/>
            <w:tcBorders>
              <w:top w:val="nil"/>
              <w:left w:val="single" w:sz="8" w:space="0" w:color="auto"/>
              <w:bottom w:val="single" w:sz="8" w:space="0" w:color="000000"/>
              <w:right w:val="single" w:sz="8" w:space="0" w:color="auto"/>
            </w:tcBorders>
            <w:vAlign w:val="center"/>
            <w:hideMark/>
          </w:tcPr>
          <w:p w:rsidR="00B50219" w:rsidRPr="0098062C" w:rsidRDefault="00B50219" w:rsidP="00B6079F">
            <w:pPr>
              <w:rPr>
                <w:rFonts w:ascii="Calibri" w:hAnsi="Calibri"/>
                <w:b/>
                <w:bCs/>
                <w:color w:val="000000"/>
                <w:sz w:val="16"/>
                <w:szCs w:val="16"/>
              </w:rPr>
            </w:pPr>
          </w:p>
        </w:tc>
        <w:tc>
          <w:tcPr>
            <w:tcW w:w="4720" w:type="dxa"/>
            <w:tcBorders>
              <w:top w:val="nil"/>
              <w:left w:val="nil"/>
              <w:bottom w:val="single" w:sz="4" w:space="0" w:color="auto"/>
              <w:right w:val="single" w:sz="4" w:space="0" w:color="auto"/>
            </w:tcBorders>
            <w:shd w:val="clear" w:color="auto" w:fill="auto"/>
            <w:noWrap/>
            <w:vAlign w:val="bottom"/>
            <w:hideMark/>
          </w:tcPr>
          <w:p w:rsidR="00B50219" w:rsidRPr="0098062C" w:rsidRDefault="00B50219" w:rsidP="00B6079F">
            <w:pPr>
              <w:rPr>
                <w:rFonts w:ascii="Calibri" w:hAnsi="Calibri"/>
                <w:color w:val="000000"/>
                <w:sz w:val="16"/>
                <w:szCs w:val="16"/>
              </w:rPr>
            </w:pPr>
            <w:r w:rsidRPr="0098062C">
              <w:rPr>
                <w:rFonts w:ascii="Calibri" w:hAnsi="Calibri"/>
                <w:color w:val="000000"/>
                <w:sz w:val="16"/>
                <w:szCs w:val="16"/>
              </w:rPr>
              <w:t>Operações Compromissadas - Art. 7º, II</w:t>
            </w:r>
          </w:p>
        </w:tc>
        <w:tc>
          <w:tcPr>
            <w:tcW w:w="1660" w:type="dxa"/>
            <w:tcBorders>
              <w:top w:val="nil"/>
              <w:left w:val="nil"/>
              <w:bottom w:val="single" w:sz="4" w:space="0" w:color="auto"/>
              <w:right w:val="single" w:sz="4" w:space="0" w:color="auto"/>
            </w:tcBorders>
            <w:shd w:val="clear" w:color="000000" w:fill="F2F2F2"/>
            <w:noWrap/>
            <w:vAlign w:val="center"/>
            <w:hideMark/>
          </w:tcPr>
          <w:p w:rsidR="00B50219" w:rsidRPr="0098062C" w:rsidRDefault="00B50219" w:rsidP="00B6079F">
            <w:pPr>
              <w:jc w:val="center"/>
              <w:rPr>
                <w:rFonts w:ascii="Calibri" w:hAnsi="Calibri"/>
                <w:color w:val="000000"/>
                <w:sz w:val="16"/>
                <w:szCs w:val="16"/>
              </w:rPr>
            </w:pPr>
            <w:r w:rsidRPr="0098062C">
              <w:rPr>
                <w:rFonts w:ascii="Calibri" w:hAnsi="Calibri"/>
                <w:color w:val="000000"/>
                <w:sz w:val="16"/>
                <w:szCs w:val="16"/>
              </w:rPr>
              <w:t>0,00%</w:t>
            </w:r>
          </w:p>
        </w:tc>
        <w:tc>
          <w:tcPr>
            <w:tcW w:w="1660" w:type="dxa"/>
            <w:tcBorders>
              <w:top w:val="nil"/>
              <w:left w:val="nil"/>
              <w:bottom w:val="single" w:sz="4" w:space="0" w:color="auto"/>
              <w:right w:val="single" w:sz="8" w:space="0" w:color="auto"/>
            </w:tcBorders>
            <w:shd w:val="clear" w:color="000000" w:fill="F2F2F2"/>
            <w:noWrap/>
            <w:vAlign w:val="center"/>
            <w:hideMark/>
          </w:tcPr>
          <w:p w:rsidR="00B50219" w:rsidRPr="0098062C" w:rsidRDefault="00B50219" w:rsidP="00B6079F">
            <w:pPr>
              <w:jc w:val="center"/>
              <w:rPr>
                <w:rFonts w:ascii="Calibri" w:hAnsi="Calibri"/>
                <w:color w:val="000000"/>
                <w:sz w:val="16"/>
                <w:szCs w:val="16"/>
              </w:rPr>
            </w:pPr>
            <w:r w:rsidRPr="0098062C">
              <w:rPr>
                <w:rFonts w:ascii="Calibri" w:hAnsi="Calibri"/>
                <w:color w:val="000000"/>
                <w:sz w:val="16"/>
                <w:szCs w:val="16"/>
              </w:rPr>
              <w:t>0,00%</w:t>
            </w:r>
          </w:p>
        </w:tc>
      </w:tr>
      <w:tr w:rsidR="00B50219" w:rsidRPr="0098062C" w:rsidTr="00B6079F">
        <w:trPr>
          <w:trHeight w:val="300"/>
        </w:trPr>
        <w:tc>
          <w:tcPr>
            <w:tcW w:w="820" w:type="dxa"/>
            <w:vMerge/>
            <w:tcBorders>
              <w:top w:val="nil"/>
              <w:left w:val="single" w:sz="8" w:space="0" w:color="auto"/>
              <w:bottom w:val="single" w:sz="8" w:space="0" w:color="000000"/>
              <w:right w:val="single" w:sz="8" w:space="0" w:color="auto"/>
            </w:tcBorders>
            <w:vAlign w:val="center"/>
            <w:hideMark/>
          </w:tcPr>
          <w:p w:rsidR="00B50219" w:rsidRPr="0098062C" w:rsidRDefault="00B50219" w:rsidP="00B6079F">
            <w:pPr>
              <w:rPr>
                <w:rFonts w:ascii="Calibri" w:hAnsi="Calibri"/>
                <w:b/>
                <w:bCs/>
                <w:color w:val="000000"/>
                <w:sz w:val="16"/>
                <w:szCs w:val="16"/>
              </w:rPr>
            </w:pPr>
          </w:p>
        </w:tc>
        <w:tc>
          <w:tcPr>
            <w:tcW w:w="4720" w:type="dxa"/>
            <w:tcBorders>
              <w:top w:val="nil"/>
              <w:left w:val="nil"/>
              <w:bottom w:val="single" w:sz="4" w:space="0" w:color="auto"/>
              <w:right w:val="single" w:sz="4" w:space="0" w:color="auto"/>
            </w:tcBorders>
            <w:shd w:val="clear" w:color="auto" w:fill="auto"/>
            <w:noWrap/>
            <w:vAlign w:val="bottom"/>
            <w:hideMark/>
          </w:tcPr>
          <w:p w:rsidR="00B50219" w:rsidRPr="0098062C" w:rsidRDefault="00B50219" w:rsidP="00B6079F">
            <w:pPr>
              <w:rPr>
                <w:rFonts w:ascii="Calibri" w:hAnsi="Calibri"/>
                <w:color w:val="000000"/>
                <w:sz w:val="16"/>
                <w:szCs w:val="16"/>
              </w:rPr>
            </w:pPr>
            <w:r w:rsidRPr="0098062C">
              <w:rPr>
                <w:rFonts w:ascii="Calibri" w:hAnsi="Calibri"/>
                <w:color w:val="000000"/>
                <w:sz w:val="16"/>
                <w:szCs w:val="16"/>
              </w:rPr>
              <w:t>FI Renda Fixa/Referenciados RF - Art. 7º, III, Alínea “a”</w:t>
            </w:r>
          </w:p>
        </w:tc>
        <w:tc>
          <w:tcPr>
            <w:tcW w:w="1660" w:type="dxa"/>
            <w:tcBorders>
              <w:top w:val="nil"/>
              <w:left w:val="nil"/>
              <w:bottom w:val="single" w:sz="4" w:space="0" w:color="auto"/>
              <w:right w:val="single" w:sz="4" w:space="0" w:color="auto"/>
            </w:tcBorders>
            <w:shd w:val="clear" w:color="000000" w:fill="F2F2F2"/>
            <w:noWrap/>
            <w:vAlign w:val="center"/>
            <w:hideMark/>
          </w:tcPr>
          <w:p w:rsidR="00B50219" w:rsidRPr="0098062C" w:rsidRDefault="00B50219" w:rsidP="00B6079F">
            <w:pPr>
              <w:jc w:val="center"/>
              <w:rPr>
                <w:rFonts w:ascii="Calibri" w:hAnsi="Calibri"/>
                <w:color w:val="000000"/>
                <w:sz w:val="16"/>
                <w:szCs w:val="16"/>
              </w:rPr>
            </w:pPr>
            <w:r w:rsidRPr="0098062C">
              <w:rPr>
                <w:rFonts w:ascii="Calibri" w:hAnsi="Calibri"/>
                <w:color w:val="000000"/>
                <w:sz w:val="16"/>
                <w:szCs w:val="16"/>
              </w:rPr>
              <w:t>15,00%</w:t>
            </w:r>
          </w:p>
        </w:tc>
        <w:tc>
          <w:tcPr>
            <w:tcW w:w="1660" w:type="dxa"/>
            <w:tcBorders>
              <w:top w:val="nil"/>
              <w:left w:val="nil"/>
              <w:bottom w:val="single" w:sz="4" w:space="0" w:color="auto"/>
              <w:right w:val="single" w:sz="8" w:space="0" w:color="auto"/>
            </w:tcBorders>
            <w:shd w:val="clear" w:color="000000" w:fill="F2F2F2"/>
            <w:noWrap/>
            <w:vAlign w:val="center"/>
            <w:hideMark/>
          </w:tcPr>
          <w:p w:rsidR="00B50219" w:rsidRPr="0098062C" w:rsidRDefault="00B50219" w:rsidP="00B6079F">
            <w:pPr>
              <w:jc w:val="center"/>
              <w:rPr>
                <w:rFonts w:ascii="Calibri" w:hAnsi="Calibri"/>
                <w:color w:val="000000"/>
                <w:sz w:val="16"/>
                <w:szCs w:val="16"/>
              </w:rPr>
            </w:pPr>
            <w:r w:rsidRPr="0098062C">
              <w:rPr>
                <w:rFonts w:ascii="Calibri" w:hAnsi="Calibri"/>
                <w:color w:val="000000"/>
                <w:sz w:val="16"/>
                <w:szCs w:val="16"/>
              </w:rPr>
              <w:t>60,00%</w:t>
            </w:r>
          </w:p>
        </w:tc>
      </w:tr>
      <w:tr w:rsidR="00B50219" w:rsidRPr="0098062C" w:rsidTr="00B6079F">
        <w:trPr>
          <w:trHeight w:val="300"/>
        </w:trPr>
        <w:tc>
          <w:tcPr>
            <w:tcW w:w="820" w:type="dxa"/>
            <w:vMerge/>
            <w:tcBorders>
              <w:top w:val="nil"/>
              <w:left w:val="single" w:sz="8" w:space="0" w:color="auto"/>
              <w:bottom w:val="single" w:sz="8" w:space="0" w:color="000000"/>
              <w:right w:val="single" w:sz="8" w:space="0" w:color="auto"/>
            </w:tcBorders>
            <w:vAlign w:val="center"/>
            <w:hideMark/>
          </w:tcPr>
          <w:p w:rsidR="00B50219" w:rsidRPr="0098062C" w:rsidRDefault="00B50219" w:rsidP="00B6079F">
            <w:pPr>
              <w:rPr>
                <w:rFonts w:ascii="Calibri" w:hAnsi="Calibri"/>
                <w:b/>
                <w:bCs/>
                <w:color w:val="000000"/>
                <w:sz w:val="16"/>
                <w:szCs w:val="16"/>
              </w:rPr>
            </w:pPr>
          </w:p>
        </w:tc>
        <w:tc>
          <w:tcPr>
            <w:tcW w:w="4720" w:type="dxa"/>
            <w:tcBorders>
              <w:top w:val="nil"/>
              <w:left w:val="nil"/>
              <w:bottom w:val="single" w:sz="4" w:space="0" w:color="auto"/>
              <w:right w:val="single" w:sz="4" w:space="0" w:color="auto"/>
            </w:tcBorders>
            <w:shd w:val="clear" w:color="auto" w:fill="auto"/>
            <w:noWrap/>
            <w:vAlign w:val="bottom"/>
            <w:hideMark/>
          </w:tcPr>
          <w:p w:rsidR="00B50219" w:rsidRPr="0098062C" w:rsidRDefault="00B50219" w:rsidP="00B6079F">
            <w:pPr>
              <w:rPr>
                <w:rFonts w:ascii="Calibri" w:hAnsi="Calibri"/>
                <w:color w:val="000000"/>
                <w:sz w:val="16"/>
                <w:szCs w:val="16"/>
              </w:rPr>
            </w:pPr>
            <w:r w:rsidRPr="0098062C">
              <w:rPr>
                <w:rFonts w:ascii="Calibri" w:hAnsi="Calibri"/>
                <w:color w:val="000000"/>
                <w:sz w:val="16"/>
                <w:szCs w:val="16"/>
              </w:rPr>
              <w:t>FI de Índices Renda Fixa - Art. 7º, III, Alínea “b”</w:t>
            </w:r>
          </w:p>
        </w:tc>
        <w:tc>
          <w:tcPr>
            <w:tcW w:w="1660" w:type="dxa"/>
            <w:tcBorders>
              <w:top w:val="nil"/>
              <w:left w:val="nil"/>
              <w:bottom w:val="single" w:sz="4" w:space="0" w:color="auto"/>
              <w:right w:val="single" w:sz="4" w:space="0" w:color="auto"/>
            </w:tcBorders>
            <w:shd w:val="clear" w:color="000000" w:fill="F2F2F2"/>
            <w:noWrap/>
            <w:vAlign w:val="center"/>
            <w:hideMark/>
          </w:tcPr>
          <w:p w:rsidR="00B50219" w:rsidRPr="0098062C" w:rsidRDefault="00B50219" w:rsidP="00B6079F">
            <w:pPr>
              <w:jc w:val="center"/>
              <w:rPr>
                <w:rFonts w:ascii="Calibri" w:hAnsi="Calibri"/>
                <w:color w:val="000000"/>
                <w:sz w:val="16"/>
                <w:szCs w:val="16"/>
              </w:rPr>
            </w:pPr>
            <w:r w:rsidRPr="0098062C">
              <w:rPr>
                <w:rFonts w:ascii="Calibri" w:hAnsi="Calibri"/>
                <w:color w:val="000000"/>
                <w:sz w:val="16"/>
                <w:szCs w:val="16"/>
              </w:rPr>
              <w:t>0,00%</w:t>
            </w:r>
          </w:p>
        </w:tc>
        <w:tc>
          <w:tcPr>
            <w:tcW w:w="1660" w:type="dxa"/>
            <w:tcBorders>
              <w:top w:val="nil"/>
              <w:left w:val="nil"/>
              <w:bottom w:val="single" w:sz="4" w:space="0" w:color="auto"/>
              <w:right w:val="single" w:sz="8" w:space="0" w:color="auto"/>
            </w:tcBorders>
            <w:shd w:val="clear" w:color="000000" w:fill="F2F2F2"/>
            <w:noWrap/>
            <w:vAlign w:val="center"/>
            <w:hideMark/>
          </w:tcPr>
          <w:p w:rsidR="00B50219" w:rsidRPr="0098062C" w:rsidRDefault="00B50219" w:rsidP="00B6079F">
            <w:pPr>
              <w:jc w:val="center"/>
              <w:rPr>
                <w:rFonts w:ascii="Calibri" w:hAnsi="Calibri"/>
                <w:color w:val="000000"/>
                <w:sz w:val="16"/>
                <w:szCs w:val="16"/>
              </w:rPr>
            </w:pPr>
            <w:r w:rsidRPr="0098062C">
              <w:rPr>
                <w:rFonts w:ascii="Calibri" w:hAnsi="Calibri"/>
                <w:color w:val="000000"/>
                <w:sz w:val="16"/>
                <w:szCs w:val="16"/>
              </w:rPr>
              <w:t>0,00%</w:t>
            </w:r>
          </w:p>
        </w:tc>
      </w:tr>
      <w:tr w:rsidR="00B50219" w:rsidRPr="0098062C" w:rsidTr="00B6079F">
        <w:trPr>
          <w:trHeight w:val="300"/>
        </w:trPr>
        <w:tc>
          <w:tcPr>
            <w:tcW w:w="820" w:type="dxa"/>
            <w:vMerge/>
            <w:tcBorders>
              <w:top w:val="nil"/>
              <w:left w:val="single" w:sz="8" w:space="0" w:color="auto"/>
              <w:bottom w:val="single" w:sz="8" w:space="0" w:color="000000"/>
              <w:right w:val="single" w:sz="8" w:space="0" w:color="auto"/>
            </w:tcBorders>
            <w:vAlign w:val="center"/>
            <w:hideMark/>
          </w:tcPr>
          <w:p w:rsidR="00B50219" w:rsidRPr="0098062C" w:rsidRDefault="00B50219" w:rsidP="00B6079F">
            <w:pPr>
              <w:rPr>
                <w:rFonts w:ascii="Calibri" w:hAnsi="Calibri"/>
                <w:b/>
                <w:bCs/>
                <w:color w:val="000000"/>
                <w:sz w:val="16"/>
                <w:szCs w:val="16"/>
              </w:rPr>
            </w:pPr>
          </w:p>
        </w:tc>
        <w:tc>
          <w:tcPr>
            <w:tcW w:w="4720" w:type="dxa"/>
            <w:tcBorders>
              <w:top w:val="nil"/>
              <w:left w:val="nil"/>
              <w:bottom w:val="single" w:sz="4" w:space="0" w:color="auto"/>
              <w:right w:val="single" w:sz="4" w:space="0" w:color="auto"/>
            </w:tcBorders>
            <w:shd w:val="clear" w:color="auto" w:fill="auto"/>
            <w:noWrap/>
            <w:vAlign w:val="bottom"/>
            <w:hideMark/>
          </w:tcPr>
          <w:p w:rsidR="00B50219" w:rsidRPr="0098062C" w:rsidRDefault="00B50219" w:rsidP="00B6079F">
            <w:pPr>
              <w:rPr>
                <w:rFonts w:ascii="Calibri" w:hAnsi="Calibri"/>
                <w:color w:val="000000"/>
                <w:sz w:val="16"/>
                <w:szCs w:val="16"/>
              </w:rPr>
            </w:pPr>
            <w:r w:rsidRPr="0098062C">
              <w:rPr>
                <w:rFonts w:ascii="Calibri" w:hAnsi="Calibri"/>
                <w:color w:val="000000"/>
                <w:sz w:val="16"/>
                <w:szCs w:val="16"/>
              </w:rPr>
              <w:t>FI de Renda Fixa - Art. 7º, IV, Alínea “a”</w:t>
            </w:r>
          </w:p>
        </w:tc>
        <w:tc>
          <w:tcPr>
            <w:tcW w:w="1660" w:type="dxa"/>
            <w:tcBorders>
              <w:top w:val="nil"/>
              <w:left w:val="nil"/>
              <w:bottom w:val="single" w:sz="4" w:space="0" w:color="auto"/>
              <w:right w:val="single" w:sz="4" w:space="0" w:color="auto"/>
            </w:tcBorders>
            <w:shd w:val="clear" w:color="000000" w:fill="F2F2F2"/>
            <w:noWrap/>
            <w:vAlign w:val="center"/>
            <w:hideMark/>
          </w:tcPr>
          <w:p w:rsidR="00B50219" w:rsidRPr="0098062C" w:rsidRDefault="00B50219" w:rsidP="00B6079F">
            <w:pPr>
              <w:jc w:val="center"/>
              <w:rPr>
                <w:rFonts w:ascii="Calibri" w:hAnsi="Calibri"/>
                <w:color w:val="000000"/>
                <w:sz w:val="16"/>
                <w:szCs w:val="16"/>
              </w:rPr>
            </w:pPr>
            <w:r w:rsidRPr="0098062C">
              <w:rPr>
                <w:rFonts w:ascii="Calibri" w:hAnsi="Calibri"/>
                <w:color w:val="000000"/>
                <w:sz w:val="16"/>
                <w:szCs w:val="16"/>
              </w:rPr>
              <w:t>5,00%</w:t>
            </w:r>
          </w:p>
        </w:tc>
        <w:tc>
          <w:tcPr>
            <w:tcW w:w="1660" w:type="dxa"/>
            <w:tcBorders>
              <w:top w:val="nil"/>
              <w:left w:val="nil"/>
              <w:bottom w:val="single" w:sz="4" w:space="0" w:color="auto"/>
              <w:right w:val="single" w:sz="8" w:space="0" w:color="auto"/>
            </w:tcBorders>
            <w:shd w:val="clear" w:color="000000" w:fill="F2F2F2"/>
            <w:noWrap/>
            <w:vAlign w:val="center"/>
            <w:hideMark/>
          </w:tcPr>
          <w:p w:rsidR="00B50219" w:rsidRPr="0098062C" w:rsidRDefault="00B50219" w:rsidP="00B6079F">
            <w:pPr>
              <w:jc w:val="center"/>
              <w:rPr>
                <w:rFonts w:ascii="Calibri" w:hAnsi="Calibri"/>
                <w:color w:val="000000"/>
                <w:sz w:val="16"/>
                <w:szCs w:val="16"/>
              </w:rPr>
            </w:pPr>
            <w:r w:rsidRPr="0098062C">
              <w:rPr>
                <w:rFonts w:ascii="Calibri" w:hAnsi="Calibri"/>
                <w:color w:val="000000"/>
                <w:sz w:val="16"/>
                <w:szCs w:val="16"/>
              </w:rPr>
              <w:t>20,00%</w:t>
            </w:r>
          </w:p>
        </w:tc>
      </w:tr>
      <w:tr w:rsidR="00B50219" w:rsidRPr="0098062C" w:rsidTr="00B6079F">
        <w:trPr>
          <w:trHeight w:val="300"/>
        </w:trPr>
        <w:tc>
          <w:tcPr>
            <w:tcW w:w="820" w:type="dxa"/>
            <w:vMerge/>
            <w:tcBorders>
              <w:top w:val="nil"/>
              <w:left w:val="single" w:sz="8" w:space="0" w:color="auto"/>
              <w:bottom w:val="single" w:sz="8" w:space="0" w:color="000000"/>
              <w:right w:val="single" w:sz="8" w:space="0" w:color="auto"/>
            </w:tcBorders>
            <w:vAlign w:val="center"/>
            <w:hideMark/>
          </w:tcPr>
          <w:p w:rsidR="00B50219" w:rsidRPr="0098062C" w:rsidRDefault="00B50219" w:rsidP="00B6079F">
            <w:pPr>
              <w:rPr>
                <w:rFonts w:ascii="Calibri" w:hAnsi="Calibri"/>
                <w:b/>
                <w:bCs/>
                <w:color w:val="000000"/>
                <w:sz w:val="16"/>
                <w:szCs w:val="16"/>
              </w:rPr>
            </w:pPr>
          </w:p>
        </w:tc>
        <w:tc>
          <w:tcPr>
            <w:tcW w:w="4720" w:type="dxa"/>
            <w:tcBorders>
              <w:top w:val="nil"/>
              <w:left w:val="nil"/>
              <w:bottom w:val="single" w:sz="4" w:space="0" w:color="auto"/>
              <w:right w:val="single" w:sz="4" w:space="0" w:color="auto"/>
            </w:tcBorders>
            <w:shd w:val="clear" w:color="auto" w:fill="auto"/>
            <w:noWrap/>
            <w:vAlign w:val="bottom"/>
            <w:hideMark/>
          </w:tcPr>
          <w:p w:rsidR="00B50219" w:rsidRPr="0098062C" w:rsidRDefault="00B50219" w:rsidP="00B6079F">
            <w:pPr>
              <w:rPr>
                <w:rFonts w:ascii="Calibri" w:hAnsi="Calibri"/>
                <w:color w:val="000000"/>
                <w:sz w:val="16"/>
                <w:szCs w:val="16"/>
              </w:rPr>
            </w:pPr>
            <w:r w:rsidRPr="0098062C">
              <w:rPr>
                <w:rFonts w:ascii="Calibri" w:hAnsi="Calibri"/>
                <w:color w:val="000000"/>
                <w:sz w:val="16"/>
                <w:szCs w:val="16"/>
              </w:rPr>
              <w:t>FI de Índices Renda Fixa - Art. 7º, IV, Alínea “b”</w:t>
            </w:r>
          </w:p>
        </w:tc>
        <w:tc>
          <w:tcPr>
            <w:tcW w:w="1660" w:type="dxa"/>
            <w:tcBorders>
              <w:top w:val="nil"/>
              <w:left w:val="nil"/>
              <w:bottom w:val="single" w:sz="4" w:space="0" w:color="auto"/>
              <w:right w:val="single" w:sz="4" w:space="0" w:color="auto"/>
            </w:tcBorders>
            <w:shd w:val="clear" w:color="000000" w:fill="F2F2F2"/>
            <w:noWrap/>
            <w:vAlign w:val="center"/>
            <w:hideMark/>
          </w:tcPr>
          <w:p w:rsidR="00B50219" w:rsidRPr="0098062C" w:rsidRDefault="00B50219" w:rsidP="00B6079F">
            <w:pPr>
              <w:jc w:val="center"/>
              <w:rPr>
                <w:rFonts w:ascii="Calibri" w:hAnsi="Calibri"/>
                <w:color w:val="000000"/>
                <w:sz w:val="16"/>
                <w:szCs w:val="16"/>
              </w:rPr>
            </w:pPr>
            <w:r w:rsidRPr="0098062C">
              <w:rPr>
                <w:rFonts w:ascii="Calibri" w:hAnsi="Calibri"/>
                <w:color w:val="000000"/>
                <w:sz w:val="16"/>
                <w:szCs w:val="16"/>
              </w:rPr>
              <w:t>0,00%</w:t>
            </w:r>
          </w:p>
        </w:tc>
        <w:tc>
          <w:tcPr>
            <w:tcW w:w="1660" w:type="dxa"/>
            <w:tcBorders>
              <w:top w:val="nil"/>
              <w:left w:val="nil"/>
              <w:bottom w:val="single" w:sz="4" w:space="0" w:color="auto"/>
              <w:right w:val="single" w:sz="8" w:space="0" w:color="auto"/>
            </w:tcBorders>
            <w:shd w:val="clear" w:color="000000" w:fill="F2F2F2"/>
            <w:noWrap/>
            <w:vAlign w:val="center"/>
            <w:hideMark/>
          </w:tcPr>
          <w:p w:rsidR="00B50219" w:rsidRPr="0098062C" w:rsidRDefault="00B50219" w:rsidP="00B6079F">
            <w:pPr>
              <w:jc w:val="center"/>
              <w:rPr>
                <w:rFonts w:ascii="Calibri" w:hAnsi="Calibri"/>
                <w:color w:val="000000"/>
                <w:sz w:val="16"/>
                <w:szCs w:val="16"/>
              </w:rPr>
            </w:pPr>
            <w:r w:rsidRPr="0098062C">
              <w:rPr>
                <w:rFonts w:ascii="Calibri" w:hAnsi="Calibri"/>
                <w:color w:val="000000"/>
                <w:sz w:val="16"/>
                <w:szCs w:val="16"/>
              </w:rPr>
              <w:t>0,00%</w:t>
            </w:r>
          </w:p>
        </w:tc>
      </w:tr>
      <w:tr w:rsidR="00B50219" w:rsidRPr="0098062C" w:rsidTr="00B6079F">
        <w:trPr>
          <w:trHeight w:val="300"/>
        </w:trPr>
        <w:tc>
          <w:tcPr>
            <w:tcW w:w="820" w:type="dxa"/>
            <w:vMerge/>
            <w:tcBorders>
              <w:top w:val="nil"/>
              <w:left w:val="single" w:sz="8" w:space="0" w:color="auto"/>
              <w:bottom w:val="single" w:sz="8" w:space="0" w:color="000000"/>
              <w:right w:val="single" w:sz="8" w:space="0" w:color="auto"/>
            </w:tcBorders>
            <w:vAlign w:val="center"/>
            <w:hideMark/>
          </w:tcPr>
          <w:p w:rsidR="00B50219" w:rsidRPr="0098062C" w:rsidRDefault="00B50219" w:rsidP="00B6079F">
            <w:pPr>
              <w:rPr>
                <w:rFonts w:ascii="Calibri" w:hAnsi="Calibri"/>
                <w:b/>
                <w:bCs/>
                <w:color w:val="000000"/>
                <w:sz w:val="16"/>
                <w:szCs w:val="16"/>
              </w:rPr>
            </w:pPr>
          </w:p>
        </w:tc>
        <w:tc>
          <w:tcPr>
            <w:tcW w:w="4720" w:type="dxa"/>
            <w:tcBorders>
              <w:top w:val="nil"/>
              <w:left w:val="nil"/>
              <w:bottom w:val="single" w:sz="4" w:space="0" w:color="auto"/>
              <w:right w:val="single" w:sz="4" w:space="0" w:color="auto"/>
            </w:tcBorders>
            <w:shd w:val="clear" w:color="auto" w:fill="auto"/>
            <w:noWrap/>
            <w:vAlign w:val="bottom"/>
            <w:hideMark/>
          </w:tcPr>
          <w:p w:rsidR="00B50219" w:rsidRPr="0098062C" w:rsidRDefault="00B50219" w:rsidP="00B6079F">
            <w:pPr>
              <w:rPr>
                <w:rFonts w:ascii="Calibri" w:hAnsi="Calibri"/>
                <w:color w:val="000000"/>
                <w:sz w:val="16"/>
                <w:szCs w:val="16"/>
              </w:rPr>
            </w:pPr>
            <w:r w:rsidRPr="0098062C">
              <w:rPr>
                <w:rFonts w:ascii="Calibri" w:hAnsi="Calibri"/>
                <w:color w:val="000000"/>
                <w:sz w:val="16"/>
                <w:szCs w:val="16"/>
              </w:rPr>
              <w:t>Poupança - Art. 7º, V, Alínea “a”</w:t>
            </w:r>
          </w:p>
        </w:tc>
        <w:tc>
          <w:tcPr>
            <w:tcW w:w="1660" w:type="dxa"/>
            <w:tcBorders>
              <w:top w:val="nil"/>
              <w:left w:val="nil"/>
              <w:bottom w:val="single" w:sz="4" w:space="0" w:color="auto"/>
              <w:right w:val="single" w:sz="4" w:space="0" w:color="auto"/>
            </w:tcBorders>
            <w:shd w:val="clear" w:color="000000" w:fill="F2F2F2"/>
            <w:noWrap/>
            <w:vAlign w:val="center"/>
            <w:hideMark/>
          </w:tcPr>
          <w:p w:rsidR="00B50219" w:rsidRPr="0098062C" w:rsidRDefault="00B50219" w:rsidP="00B6079F">
            <w:pPr>
              <w:jc w:val="center"/>
              <w:rPr>
                <w:rFonts w:ascii="Calibri" w:hAnsi="Calibri"/>
                <w:color w:val="000000"/>
                <w:sz w:val="16"/>
                <w:szCs w:val="16"/>
              </w:rPr>
            </w:pPr>
            <w:r w:rsidRPr="0098062C">
              <w:rPr>
                <w:rFonts w:ascii="Calibri" w:hAnsi="Calibri"/>
                <w:color w:val="000000"/>
                <w:sz w:val="16"/>
                <w:szCs w:val="16"/>
              </w:rPr>
              <w:t>0,00%</w:t>
            </w:r>
          </w:p>
        </w:tc>
        <w:tc>
          <w:tcPr>
            <w:tcW w:w="1660" w:type="dxa"/>
            <w:tcBorders>
              <w:top w:val="nil"/>
              <w:left w:val="nil"/>
              <w:bottom w:val="single" w:sz="4" w:space="0" w:color="auto"/>
              <w:right w:val="single" w:sz="8" w:space="0" w:color="auto"/>
            </w:tcBorders>
            <w:shd w:val="clear" w:color="000000" w:fill="F2F2F2"/>
            <w:noWrap/>
            <w:vAlign w:val="center"/>
            <w:hideMark/>
          </w:tcPr>
          <w:p w:rsidR="00B50219" w:rsidRPr="0098062C" w:rsidRDefault="00B50219" w:rsidP="00B6079F">
            <w:pPr>
              <w:jc w:val="center"/>
              <w:rPr>
                <w:rFonts w:ascii="Calibri" w:hAnsi="Calibri"/>
                <w:color w:val="000000"/>
                <w:sz w:val="16"/>
                <w:szCs w:val="16"/>
              </w:rPr>
            </w:pPr>
            <w:r w:rsidRPr="0098062C">
              <w:rPr>
                <w:rFonts w:ascii="Calibri" w:hAnsi="Calibri"/>
                <w:color w:val="000000"/>
                <w:sz w:val="16"/>
                <w:szCs w:val="16"/>
              </w:rPr>
              <w:t>0,00%</w:t>
            </w:r>
          </w:p>
        </w:tc>
      </w:tr>
      <w:tr w:rsidR="00B50219" w:rsidRPr="0098062C" w:rsidTr="00B6079F">
        <w:trPr>
          <w:trHeight w:val="300"/>
        </w:trPr>
        <w:tc>
          <w:tcPr>
            <w:tcW w:w="820" w:type="dxa"/>
            <w:vMerge/>
            <w:tcBorders>
              <w:top w:val="nil"/>
              <w:left w:val="single" w:sz="8" w:space="0" w:color="auto"/>
              <w:bottom w:val="single" w:sz="8" w:space="0" w:color="000000"/>
              <w:right w:val="single" w:sz="8" w:space="0" w:color="auto"/>
            </w:tcBorders>
            <w:vAlign w:val="center"/>
            <w:hideMark/>
          </w:tcPr>
          <w:p w:rsidR="00B50219" w:rsidRPr="0098062C" w:rsidRDefault="00B50219" w:rsidP="00B6079F">
            <w:pPr>
              <w:rPr>
                <w:rFonts w:ascii="Calibri" w:hAnsi="Calibri"/>
                <w:b/>
                <w:bCs/>
                <w:color w:val="000000"/>
                <w:sz w:val="16"/>
                <w:szCs w:val="16"/>
              </w:rPr>
            </w:pPr>
          </w:p>
        </w:tc>
        <w:tc>
          <w:tcPr>
            <w:tcW w:w="4720" w:type="dxa"/>
            <w:tcBorders>
              <w:top w:val="nil"/>
              <w:left w:val="nil"/>
              <w:bottom w:val="single" w:sz="4" w:space="0" w:color="auto"/>
              <w:right w:val="single" w:sz="4" w:space="0" w:color="auto"/>
            </w:tcBorders>
            <w:shd w:val="clear" w:color="auto" w:fill="auto"/>
            <w:noWrap/>
            <w:vAlign w:val="bottom"/>
            <w:hideMark/>
          </w:tcPr>
          <w:p w:rsidR="00B50219" w:rsidRPr="0098062C" w:rsidRDefault="00B50219" w:rsidP="00B6079F">
            <w:pPr>
              <w:rPr>
                <w:rFonts w:ascii="Calibri" w:hAnsi="Calibri"/>
                <w:color w:val="000000"/>
                <w:sz w:val="16"/>
                <w:szCs w:val="16"/>
              </w:rPr>
            </w:pPr>
            <w:r w:rsidRPr="0098062C">
              <w:rPr>
                <w:rFonts w:ascii="Calibri" w:hAnsi="Calibri"/>
                <w:color w:val="000000"/>
                <w:sz w:val="16"/>
                <w:szCs w:val="16"/>
              </w:rPr>
              <w:t>Letras Imobiliárias Garantidas- Art. 7º, V, Alínea “a”</w:t>
            </w:r>
          </w:p>
        </w:tc>
        <w:tc>
          <w:tcPr>
            <w:tcW w:w="1660" w:type="dxa"/>
            <w:tcBorders>
              <w:top w:val="nil"/>
              <w:left w:val="nil"/>
              <w:bottom w:val="single" w:sz="4" w:space="0" w:color="auto"/>
              <w:right w:val="single" w:sz="4" w:space="0" w:color="auto"/>
            </w:tcBorders>
            <w:shd w:val="clear" w:color="000000" w:fill="F2F2F2"/>
            <w:noWrap/>
            <w:vAlign w:val="center"/>
            <w:hideMark/>
          </w:tcPr>
          <w:p w:rsidR="00B50219" w:rsidRPr="0098062C" w:rsidRDefault="00B50219" w:rsidP="00B6079F">
            <w:pPr>
              <w:jc w:val="center"/>
              <w:rPr>
                <w:rFonts w:ascii="Calibri" w:hAnsi="Calibri"/>
                <w:color w:val="000000"/>
                <w:sz w:val="16"/>
                <w:szCs w:val="16"/>
              </w:rPr>
            </w:pPr>
            <w:r w:rsidRPr="0098062C">
              <w:rPr>
                <w:rFonts w:ascii="Calibri" w:hAnsi="Calibri"/>
                <w:color w:val="000000"/>
                <w:sz w:val="16"/>
                <w:szCs w:val="16"/>
              </w:rPr>
              <w:t>0,00%</w:t>
            </w:r>
          </w:p>
        </w:tc>
        <w:tc>
          <w:tcPr>
            <w:tcW w:w="1660" w:type="dxa"/>
            <w:tcBorders>
              <w:top w:val="nil"/>
              <w:left w:val="nil"/>
              <w:bottom w:val="single" w:sz="4" w:space="0" w:color="auto"/>
              <w:right w:val="single" w:sz="8" w:space="0" w:color="auto"/>
            </w:tcBorders>
            <w:shd w:val="clear" w:color="000000" w:fill="F2F2F2"/>
            <w:noWrap/>
            <w:vAlign w:val="center"/>
            <w:hideMark/>
          </w:tcPr>
          <w:p w:rsidR="00B50219" w:rsidRPr="0098062C" w:rsidRDefault="00B50219" w:rsidP="00B6079F">
            <w:pPr>
              <w:jc w:val="center"/>
              <w:rPr>
                <w:rFonts w:ascii="Calibri" w:hAnsi="Calibri"/>
                <w:color w:val="000000"/>
                <w:sz w:val="16"/>
                <w:szCs w:val="16"/>
              </w:rPr>
            </w:pPr>
            <w:r w:rsidRPr="0098062C">
              <w:rPr>
                <w:rFonts w:ascii="Calibri" w:hAnsi="Calibri"/>
                <w:color w:val="000000"/>
                <w:sz w:val="16"/>
                <w:szCs w:val="16"/>
              </w:rPr>
              <w:t>0,00%</w:t>
            </w:r>
          </w:p>
        </w:tc>
      </w:tr>
      <w:tr w:rsidR="00B50219" w:rsidRPr="0098062C" w:rsidTr="00B6079F">
        <w:trPr>
          <w:trHeight w:val="300"/>
        </w:trPr>
        <w:tc>
          <w:tcPr>
            <w:tcW w:w="820" w:type="dxa"/>
            <w:vMerge/>
            <w:tcBorders>
              <w:top w:val="nil"/>
              <w:left w:val="single" w:sz="8" w:space="0" w:color="auto"/>
              <w:bottom w:val="single" w:sz="8" w:space="0" w:color="000000"/>
              <w:right w:val="single" w:sz="8" w:space="0" w:color="auto"/>
            </w:tcBorders>
            <w:vAlign w:val="center"/>
            <w:hideMark/>
          </w:tcPr>
          <w:p w:rsidR="00B50219" w:rsidRPr="0098062C" w:rsidRDefault="00B50219" w:rsidP="00B6079F">
            <w:pPr>
              <w:rPr>
                <w:rFonts w:ascii="Calibri" w:hAnsi="Calibri"/>
                <w:b/>
                <w:bCs/>
                <w:color w:val="000000"/>
                <w:sz w:val="16"/>
                <w:szCs w:val="16"/>
              </w:rPr>
            </w:pPr>
          </w:p>
        </w:tc>
        <w:tc>
          <w:tcPr>
            <w:tcW w:w="4720" w:type="dxa"/>
            <w:tcBorders>
              <w:top w:val="nil"/>
              <w:left w:val="nil"/>
              <w:bottom w:val="single" w:sz="4" w:space="0" w:color="auto"/>
              <w:right w:val="single" w:sz="4" w:space="0" w:color="auto"/>
            </w:tcBorders>
            <w:shd w:val="clear" w:color="auto" w:fill="auto"/>
            <w:noWrap/>
            <w:vAlign w:val="bottom"/>
            <w:hideMark/>
          </w:tcPr>
          <w:p w:rsidR="00B50219" w:rsidRPr="0098062C" w:rsidRDefault="00B50219" w:rsidP="00B6079F">
            <w:pPr>
              <w:rPr>
                <w:rFonts w:ascii="Calibri" w:hAnsi="Calibri"/>
                <w:color w:val="000000"/>
                <w:sz w:val="16"/>
                <w:szCs w:val="16"/>
              </w:rPr>
            </w:pPr>
            <w:r w:rsidRPr="0098062C">
              <w:rPr>
                <w:rFonts w:ascii="Calibri" w:hAnsi="Calibri"/>
                <w:color w:val="000000"/>
                <w:sz w:val="16"/>
                <w:szCs w:val="16"/>
              </w:rPr>
              <w:t>FI em Direitos Creditórios - aberto - sênior Art. 7º, VI.</w:t>
            </w:r>
          </w:p>
        </w:tc>
        <w:tc>
          <w:tcPr>
            <w:tcW w:w="1660" w:type="dxa"/>
            <w:tcBorders>
              <w:top w:val="nil"/>
              <w:left w:val="nil"/>
              <w:bottom w:val="single" w:sz="4" w:space="0" w:color="auto"/>
              <w:right w:val="single" w:sz="4" w:space="0" w:color="auto"/>
            </w:tcBorders>
            <w:shd w:val="clear" w:color="000000" w:fill="F2F2F2"/>
            <w:noWrap/>
            <w:vAlign w:val="center"/>
            <w:hideMark/>
          </w:tcPr>
          <w:p w:rsidR="00B50219" w:rsidRPr="0098062C" w:rsidRDefault="00B50219" w:rsidP="00B6079F">
            <w:pPr>
              <w:jc w:val="center"/>
              <w:rPr>
                <w:rFonts w:ascii="Calibri" w:hAnsi="Calibri"/>
                <w:color w:val="000000"/>
                <w:sz w:val="16"/>
                <w:szCs w:val="16"/>
              </w:rPr>
            </w:pPr>
            <w:r w:rsidRPr="0098062C">
              <w:rPr>
                <w:rFonts w:ascii="Calibri" w:hAnsi="Calibri"/>
                <w:color w:val="000000"/>
                <w:sz w:val="16"/>
                <w:szCs w:val="16"/>
              </w:rPr>
              <w:t>5,00%</w:t>
            </w:r>
          </w:p>
        </w:tc>
        <w:tc>
          <w:tcPr>
            <w:tcW w:w="1660" w:type="dxa"/>
            <w:tcBorders>
              <w:top w:val="nil"/>
              <w:left w:val="nil"/>
              <w:bottom w:val="single" w:sz="4" w:space="0" w:color="auto"/>
              <w:right w:val="single" w:sz="8" w:space="0" w:color="auto"/>
            </w:tcBorders>
            <w:shd w:val="clear" w:color="000000" w:fill="F2F2F2"/>
            <w:noWrap/>
            <w:vAlign w:val="center"/>
            <w:hideMark/>
          </w:tcPr>
          <w:p w:rsidR="00B50219" w:rsidRPr="0098062C" w:rsidRDefault="00B50219" w:rsidP="00B6079F">
            <w:pPr>
              <w:jc w:val="center"/>
              <w:rPr>
                <w:rFonts w:ascii="Calibri" w:hAnsi="Calibri"/>
                <w:color w:val="000000"/>
                <w:sz w:val="16"/>
                <w:szCs w:val="16"/>
              </w:rPr>
            </w:pPr>
            <w:r w:rsidRPr="0098062C">
              <w:rPr>
                <w:rFonts w:ascii="Calibri" w:hAnsi="Calibri"/>
                <w:color w:val="000000"/>
                <w:sz w:val="16"/>
                <w:szCs w:val="16"/>
              </w:rPr>
              <w:t>15,00%</w:t>
            </w:r>
          </w:p>
        </w:tc>
      </w:tr>
      <w:tr w:rsidR="00B50219" w:rsidRPr="0098062C" w:rsidTr="00B6079F">
        <w:trPr>
          <w:trHeight w:val="300"/>
        </w:trPr>
        <w:tc>
          <w:tcPr>
            <w:tcW w:w="820" w:type="dxa"/>
            <w:vMerge/>
            <w:tcBorders>
              <w:top w:val="nil"/>
              <w:left w:val="single" w:sz="8" w:space="0" w:color="auto"/>
              <w:bottom w:val="single" w:sz="8" w:space="0" w:color="000000"/>
              <w:right w:val="single" w:sz="8" w:space="0" w:color="auto"/>
            </w:tcBorders>
            <w:vAlign w:val="center"/>
            <w:hideMark/>
          </w:tcPr>
          <w:p w:rsidR="00B50219" w:rsidRPr="0098062C" w:rsidRDefault="00B50219" w:rsidP="00B6079F">
            <w:pPr>
              <w:rPr>
                <w:rFonts w:ascii="Calibri" w:hAnsi="Calibri"/>
                <w:b/>
                <w:bCs/>
                <w:color w:val="000000"/>
                <w:sz w:val="16"/>
                <w:szCs w:val="16"/>
              </w:rPr>
            </w:pPr>
          </w:p>
        </w:tc>
        <w:tc>
          <w:tcPr>
            <w:tcW w:w="4720" w:type="dxa"/>
            <w:tcBorders>
              <w:top w:val="nil"/>
              <w:left w:val="nil"/>
              <w:bottom w:val="single" w:sz="4" w:space="0" w:color="auto"/>
              <w:right w:val="single" w:sz="4" w:space="0" w:color="auto"/>
            </w:tcBorders>
            <w:shd w:val="clear" w:color="auto" w:fill="auto"/>
            <w:noWrap/>
            <w:vAlign w:val="bottom"/>
            <w:hideMark/>
          </w:tcPr>
          <w:p w:rsidR="00B50219" w:rsidRPr="0098062C" w:rsidRDefault="00B50219" w:rsidP="00B6079F">
            <w:pPr>
              <w:rPr>
                <w:rFonts w:ascii="Calibri" w:hAnsi="Calibri"/>
                <w:color w:val="000000"/>
                <w:sz w:val="16"/>
                <w:szCs w:val="16"/>
              </w:rPr>
            </w:pPr>
            <w:r w:rsidRPr="0098062C">
              <w:rPr>
                <w:rFonts w:ascii="Calibri" w:hAnsi="Calibri"/>
                <w:color w:val="000000"/>
                <w:sz w:val="16"/>
                <w:szCs w:val="16"/>
              </w:rPr>
              <w:t>FI em Direitos Creditórios - aberto - subordinada Art. 7º, VI.</w:t>
            </w:r>
          </w:p>
        </w:tc>
        <w:tc>
          <w:tcPr>
            <w:tcW w:w="1660" w:type="dxa"/>
            <w:tcBorders>
              <w:top w:val="nil"/>
              <w:left w:val="nil"/>
              <w:bottom w:val="single" w:sz="4" w:space="0" w:color="auto"/>
              <w:right w:val="single" w:sz="4" w:space="0" w:color="auto"/>
            </w:tcBorders>
            <w:shd w:val="clear" w:color="000000" w:fill="F2F2F2"/>
            <w:noWrap/>
            <w:vAlign w:val="center"/>
            <w:hideMark/>
          </w:tcPr>
          <w:p w:rsidR="00B50219" w:rsidRPr="0098062C" w:rsidRDefault="00B50219" w:rsidP="00B6079F">
            <w:pPr>
              <w:jc w:val="center"/>
              <w:rPr>
                <w:rFonts w:ascii="Calibri" w:hAnsi="Calibri"/>
                <w:color w:val="000000"/>
                <w:sz w:val="16"/>
                <w:szCs w:val="16"/>
              </w:rPr>
            </w:pPr>
            <w:r w:rsidRPr="0098062C">
              <w:rPr>
                <w:rFonts w:ascii="Calibri" w:hAnsi="Calibri"/>
                <w:color w:val="000000"/>
                <w:sz w:val="16"/>
                <w:szCs w:val="16"/>
              </w:rPr>
              <w:t>0,00%</w:t>
            </w:r>
          </w:p>
        </w:tc>
        <w:tc>
          <w:tcPr>
            <w:tcW w:w="1660" w:type="dxa"/>
            <w:tcBorders>
              <w:top w:val="nil"/>
              <w:left w:val="nil"/>
              <w:bottom w:val="single" w:sz="4" w:space="0" w:color="auto"/>
              <w:right w:val="single" w:sz="8" w:space="0" w:color="auto"/>
            </w:tcBorders>
            <w:shd w:val="clear" w:color="000000" w:fill="F2F2F2"/>
            <w:noWrap/>
            <w:vAlign w:val="center"/>
            <w:hideMark/>
          </w:tcPr>
          <w:p w:rsidR="00B50219" w:rsidRPr="0098062C" w:rsidRDefault="00B50219" w:rsidP="00B6079F">
            <w:pPr>
              <w:jc w:val="center"/>
              <w:rPr>
                <w:rFonts w:ascii="Calibri" w:hAnsi="Calibri"/>
                <w:color w:val="000000"/>
                <w:sz w:val="16"/>
                <w:szCs w:val="16"/>
              </w:rPr>
            </w:pPr>
            <w:r w:rsidRPr="0098062C">
              <w:rPr>
                <w:rFonts w:ascii="Calibri" w:hAnsi="Calibri"/>
                <w:color w:val="000000"/>
                <w:sz w:val="16"/>
                <w:szCs w:val="16"/>
              </w:rPr>
              <w:t>0,00%</w:t>
            </w:r>
          </w:p>
        </w:tc>
      </w:tr>
      <w:tr w:rsidR="00B50219" w:rsidRPr="0098062C" w:rsidTr="00B6079F">
        <w:trPr>
          <w:trHeight w:val="300"/>
        </w:trPr>
        <w:tc>
          <w:tcPr>
            <w:tcW w:w="820" w:type="dxa"/>
            <w:vMerge/>
            <w:tcBorders>
              <w:top w:val="nil"/>
              <w:left w:val="single" w:sz="8" w:space="0" w:color="auto"/>
              <w:bottom w:val="single" w:sz="8" w:space="0" w:color="000000"/>
              <w:right w:val="single" w:sz="8" w:space="0" w:color="auto"/>
            </w:tcBorders>
            <w:vAlign w:val="center"/>
            <w:hideMark/>
          </w:tcPr>
          <w:p w:rsidR="00B50219" w:rsidRPr="0098062C" w:rsidRDefault="00B50219" w:rsidP="00B6079F">
            <w:pPr>
              <w:rPr>
                <w:rFonts w:ascii="Calibri" w:hAnsi="Calibri"/>
                <w:b/>
                <w:bCs/>
                <w:color w:val="000000"/>
                <w:sz w:val="16"/>
                <w:szCs w:val="16"/>
              </w:rPr>
            </w:pPr>
          </w:p>
        </w:tc>
        <w:tc>
          <w:tcPr>
            <w:tcW w:w="4720" w:type="dxa"/>
            <w:tcBorders>
              <w:top w:val="nil"/>
              <w:left w:val="nil"/>
              <w:bottom w:val="single" w:sz="4" w:space="0" w:color="auto"/>
              <w:right w:val="single" w:sz="4" w:space="0" w:color="auto"/>
            </w:tcBorders>
            <w:shd w:val="clear" w:color="auto" w:fill="auto"/>
            <w:noWrap/>
            <w:vAlign w:val="bottom"/>
            <w:hideMark/>
          </w:tcPr>
          <w:p w:rsidR="00B50219" w:rsidRPr="0098062C" w:rsidRDefault="00B50219" w:rsidP="00B6079F">
            <w:pPr>
              <w:rPr>
                <w:rFonts w:ascii="Calibri" w:hAnsi="Calibri"/>
                <w:color w:val="000000"/>
                <w:sz w:val="16"/>
                <w:szCs w:val="16"/>
              </w:rPr>
            </w:pPr>
            <w:r w:rsidRPr="0098062C">
              <w:rPr>
                <w:rFonts w:ascii="Calibri" w:hAnsi="Calibri"/>
                <w:color w:val="000000"/>
                <w:sz w:val="16"/>
                <w:szCs w:val="16"/>
              </w:rPr>
              <w:t>FI em Direitos Creditórios - fechado - sênior Art. 7º, VII, "a"</w:t>
            </w:r>
          </w:p>
        </w:tc>
        <w:tc>
          <w:tcPr>
            <w:tcW w:w="1660" w:type="dxa"/>
            <w:tcBorders>
              <w:top w:val="nil"/>
              <w:left w:val="nil"/>
              <w:bottom w:val="single" w:sz="4" w:space="0" w:color="auto"/>
              <w:right w:val="single" w:sz="4" w:space="0" w:color="auto"/>
            </w:tcBorders>
            <w:shd w:val="clear" w:color="000000" w:fill="F2F2F2"/>
            <w:noWrap/>
            <w:vAlign w:val="center"/>
            <w:hideMark/>
          </w:tcPr>
          <w:p w:rsidR="00B50219" w:rsidRPr="0098062C" w:rsidRDefault="00B50219" w:rsidP="00B6079F">
            <w:pPr>
              <w:jc w:val="center"/>
              <w:rPr>
                <w:rFonts w:ascii="Calibri" w:hAnsi="Calibri"/>
                <w:color w:val="000000"/>
                <w:sz w:val="16"/>
                <w:szCs w:val="16"/>
              </w:rPr>
            </w:pPr>
            <w:r w:rsidRPr="0098062C">
              <w:rPr>
                <w:rFonts w:ascii="Calibri" w:hAnsi="Calibri"/>
                <w:color w:val="000000"/>
                <w:sz w:val="16"/>
                <w:szCs w:val="16"/>
              </w:rPr>
              <w:t>0,00%</w:t>
            </w:r>
          </w:p>
        </w:tc>
        <w:tc>
          <w:tcPr>
            <w:tcW w:w="1660" w:type="dxa"/>
            <w:tcBorders>
              <w:top w:val="nil"/>
              <w:left w:val="nil"/>
              <w:bottom w:val="single" w:sz="4" w:space="0" w:color="auto"/>
              <w:right w:val="single" w:sz="8" w:space="0" w:color="auto"/>
            </w:tcBorders>
            <w:shd w:val="clear" w:color="000000" w:fill="F2F2F2"/>
            <w:noWrap/>
            <w:vAlign w:val="center"/>
            <w:hideMark/>
          </w:tcPr>
          <w:p w:rsidR="00B50219" w:rsidRPr="0098062C" w:rsidRDefault="00B50219" w:rsidP="00B6079F">
            <w:pPr>
              <w:jc w:val="center"/>
              <w:rPr>
                <w:rFonts w:ascii="Calibri" w:hAnsi="Calibri"/>
                <w:color w:val="000000"/>
                <w:sz w:val="16"/>
                <w:szCs w:val="16"/>
              </w:rPr>
            </w:pPr>
            <w:r w:rsidRPr="0098062C">
              <w:rPr>
                <w:rFonts w:ascii="Calibri" w:hAnsi="Calibri"/>
                <w:color w:val="000000"/>
                <w:sz w:val="16"/>
                <w:szCs w:val="16"/>
              </w:rPr>
              <w:t>5,00%</w:t>
            </w:r>
          </w:p>
        </w:tc>
      </w:tr>
      <w:tr w:rsidR="00B50219" w:rsidRPr="0098062C" w:rsidTr="00B6079F">
        <w:trPr>
          <w:trHeight w:val="300"/>
        </w:trPr>
        <w:tc>
          <w:tcPr>
            <w:tcW w:w="820" w:type="dxa"/>
            <w:vMerge/>
            <w:tcBorders>
              <w:top w:val="nil"/>
              <w:left w:val="single" w:sz="8" w:space="0" w:color="auto"/>
              <w:bottom w:val="single" w:sz="8" w:space="0" w:color="000000"/>
              <w:right w:val="single" w:sz="8" w:space="0" w:color="auto"/>
            </w:tcBorders>
            <w:vAlign w:val="center"/>
            <w:hideMark/>
          </w:tcPr>
          <w:p w:rsidR="00B50219" w:rsidRPr="0098062C" w:rsidRDefault="00B50219" w:rsidP="00B6079F">
            <w:pPr>
              <w:rPr>
                <w:rFonts w:ascii="Calibri" w:hAnsi="Calibri"/>
                <w:b/>
                <w:bCs/>
                <w:color w:val="000000"/>
                <w:sz w:val="16"/>
                <w:szCs w:val="16"/>
              </w:rPr>
            </w:pPr>
          </w:p>
        </w:tc>
        <w:tc>
          <w:tcPr>
            <w:tcW w:w="4720" w:type="dxa"/>
            <w:tcBorders>
              <w:top w:val="nil"/>
              <w:left w:val="nil"/>
              <w:bottom w:val="nil"/>
              <w:right w:val="single" w:sz="4" w:space="0" w:color="auto"/>
            </w:tcBorders>
            <w:shd w:val="clear" w:color="auto" w:fill="auto"/>
            <w:noWrap/>
            <w:vAlign w:val="bottom"/>
            <w:hideMark/>
          </w:tcPr>
          <w:p w:rsidR="00B50219" w:rsidRPr="0098062C" w:rsidRDefault="00B50219" w:rsidP="00B6079F">
            <w:pPr>
              <w:rPr>
                <w:rFonts w:ascii="Calibri" w:hAnsi="Calibri"/>
                <w:color w:val="000000"/>
                <w:sz w:val="16"/>
                <w:szCs w:val="16"/>
              </w:rPr>
            </w:pPr>
            <w:r w:rsidRPr="0098062C">
              <w:rPr>
                <w:rFonts w:ascii="Calibri" w:hAnsi="Calibri"/>
                <w:color w:val="000000"/>
                <w:sz w:val="16"/>
                <w:szCs w:val="16"/>
              </w:rPr>
              <w:t>FI em Direitos Creditórios - fechado - subordinada Art. 7º, VII, "a"</w:t>
            </w:r>
          </w:p>
        </w:tc>
        <w:tc>
          <w:tcPr>
            <w:tcW w:w="1660" w:type="dxa"/>
            <w:tcBorders>
              <w:top w:val="nil"/>
              <w:left w:val="nil"/>
              <w:bottom w:val="nil"/>
              <w:right w:val="single" w:sz="4" w:space="0" w:color="auto"/>
            </w:tcBorders>
            <w:shd w:val="clear" w:color="000000" w:fill="F2F2F2"/>
            <w:noWrap/>
            <w:vAlign w:val="center"/>
            <w:hideMark/>
          </w:tcPr>
          <w:p w:rsidR="00B50219" w:rsidRPr="0098062C" w:rsidRDefault="00B50219" w:rsidP="00B6079F">
            <w:pPr>
              <w:jc w:val="center"/>
              <w:rPr>
                <w:rFonts w:ascii="Calibri" w:hAnsi="Calibri"/>
                <w:color w:val="000000"/>
                <w:sz w:val="16"/>
                <w:szCs w:val="16"/>
              </w:rPr>
            </w:pPr>
            <w:r w:rsidRPr="0098062C">
              <w:rPr>
                <w:rFonts w:ascii="Calibri" w:hAnsi="Calibri"/>
                <w:color w:val="000000"/>
                <w:sz w:val="16"/>
                <w:szCs w:val="16"/>
              </w:rPr>
              <w:t>0,00%</w:t>
            </w:r>
          </w:p>
        </w:tc>
        <w:tc>
          <w:tcPr>
            <w:tcW w:w="1660" w:type="dxa"/>
            <w:tcBorders>
              <w:top w:val="nil"/>
              <w:left w:val="nil"/>
              <w:bottom w:val="nil"/>
              <w:right w:val="single" w:sz="8" w:space="0" w:color="auto"/>
            </w:tcBorders>
            <w:shd w:val="clear" w:color="000000" w:fill="F2F2F2"/>
            <w:noWrap/>
            <w:vAlign w:val="center"/>
            <w:hideMark/>
          </w:tcPr>
          <w:p w:rsidR="00B50219" w:rsidRPr="0098062C" w:rsidRDefault="00B50219" w:rsidP="00B6079F">
            <w:pPr>
              <w:jc w:val="center"/>
              <w:rPr>
                <w:rFonts w:ascii="Calibri" w:hAnsi="Calibri"/>
                <w:color w:val="000000"/>
                <w:sz w:val="16"/>
                <w:szCs w:val="16"/>
              </w:rPr>
            </w:pPr>
            <w:r w:rsidRPr="0098062C">
              <w:rPr>
                <w:rFonts w:ascii="Calibri" w:hAnsi="Calibri"/>
                <w:color w:val="000000"/>
                <w:sz w:val="16"/>
                <w:szCs w:val="16"/>
              </w:rPr>
              <w:t>0,00%</w:t>
            </w:r>
          </w:p>
        </w:tc>
      </w:tr>
      <w:tr w:rsidR="00B50219" w:rsidRPr="0098062C" w:rsidTr="00B6079F">
        <w:trPr>
          <w:trHeight w:val="315"/>
        </w:trPr>
        <w:tc>
          <w:tcPr>
            <w:tcW w:w="820" w:type="dxa"/>
            <w:vMerge/>
            <w:tcBorders>
              <w:top w:val="nil"/>
              <w:left w:val="single" w:sz="8" w:space="0" w:color="auto"/>
              <w:bottom w:val="single" w:sz="8" w:space="0" w:color="000000"/>
              <w:right w:val="single" w:sz="8" w:space="0" w:color="auto"/>
            </w:tcBorders>
            <w:vAlign w:val="center"/>
            <w:hideMark/>
          </w:tcPr>
          <w:p w:rsidR="00B50219" w:rsidRPr="0098062C" w:rsidRDefault="00B50219" w:rsidP="00B6079F">
            <w:pPr>
              <w:rPr>
                <w:rFonts w:ascii="Calibri" w:hAnsi="Calibri"/>
                <w:b/>
                <w:bCs/>
                <w:color w:val="000000"/>
                <w:sz w:val="16"/>
                <w:szCs w:val="16"/>
              </w:rPr>
            </w:pPr>
          </w:p>
        </w:tc>
        <w:tc>
          <w:tcPr>
            <w:tcW w:w="4720" w:type="dxa"/>
            <w:tcBorders>
              <w:top w:val="single" w:sz="4" w:space="0" w:color="auto"/>
              <w:left w:val="nil"/>
              <w:bottom w:val="nil"/>
              <w:right w:val="single" w:sz="4" w:space="0" w:color="auto"/>
            </w:tcBorders>
            <w:shd w:val="clear" w:color="auto" w:fill="auto"/>
            <w:noWrap/>
            <w:vAlign w:val="bottom"/>
            <w:hideMark/>
          </w:tcPr>
          <w:p w:rsidR="00B50219" w:rsidRPr="0098062C" w:rsidRDefault="00B50219" w:rsidP="00B6079F">
            <w:pPr>
              <w:rPr>
                <w:rFonts w:ascii="Calibri" w:hAnsi="Calibri"/>
                <w:color w:val="000000"/>
                <w:sz w:val="16"/>
                <w:szCs w:val="16"/>
              </w:rPr>
            </w:pPr>
            <w:r w:rsidRPr="0098062C">
              <w:rPr>
                <w:rFonts w:ascii="Calibri" w:hAnsi="Calibri"/>
                <w:color w:val="000000"/>
                <w:sz w:val="16"/>
                <w:szCs w:val="16"/>
              </w:rPr>
              <w:t>FI Renda Fixa "Crédito Privado"- Art. 7º, VII, "b"</w:t>
            </w:r>
          </w:p>
        </w:tc>
        <w:tc>
          <w:tcPr>
            <w:tcW w:w="1660" w:type="dxa"/>
            <w:tcBorders>
              <w:top w:val="single" w:sz="4" w:space="0" w:color="auto"/>
              <w:left w:val="nil"/>
              <w:bottom w:val="nil"/>
              <w:right w:val="single" w:sz="4" w:space="0" w:color="auto"/>
            </w:tcBorders>
            <w:shd w:val="clear" w:color="000000" w:fill="F2F2F2"/>
            <w:noWrap/>
            <w:vAlign w:val="center"/>
            <w:hideMark/>
          </w:tcPr>
          <w:p w:rsidR="00B50219" w:rsidRPr="0098062C" w:rsidRDefault="00B50219" w:rsidP="00B6079F">
            <w:pPr>
              <w:jc w:val="center"/>
              <w:rPr>
                <w:rFonts w:ascii="Calibri" w:hAnsi="Calibri"/>
                <w:color w:val="000000"/>
                <w:sz w:val="16"/>
                <w:szCs w:val="16"/>
              </w:rPr>
            </w:pPr>
            <w:r w:rsidRPr="0098062C">
              <w:rPr>
                <w:rFonts w:ascii="Calibri" w:hAnsi="Calibri"/>
                <w:color w:val="000000"/>
                <w:sz w:val="16"/>
                <w:szCs w:val="16"/>
              </w:rPr>
              <w:t>0,00%</w:t>
            </w:r>
          </w:p>
        </w:tc>
        <w:tc>
          <w:tcPr>
            <w:tcW w:w="1660" w:type="dxa"/>
            <w:tcBorders>
              <w:top w:val="single" w:sz="4" w:space="0" w:color="auto"/>
              <w:left w:val="nil"/>
              <w:bottom w:val="nil"/>
              <w:right w:val="single" w:sz="8" w:space="0" w:color="auto"/>
            </w:tcBorders>
            <w:shd w:val="clear" w:color="000000" w:fill="F2F2F2"/>
            <w:noWrap/>
            <w:vAlign w:val="center"/>
            <w:hideMark/>
          </w:tcPr>
          <w:p w:rsidR="00B50219" w:rsidRPr="0098062C" w:rsidRDefault="00B50219" w:rsidP="00B6079F">
            <w:pPr>
              <w:jc w:val="center"/>
              <w:rPr>
                <w:rFonts w:ascii="Calibri" w:hAnsi="Calibri"/>
                <w:color w:val="000000"/>
                <w:sz w:val="16"/>
                <w:szCs w:val="16"/>
              </w:rPr>
            </w:pPr>
            <w:r w:rsidRPr="0098062C">
              <w:rPr>
                <w:rFonts w:ascii="Calibri" w:hAnsi="Calibri"/>
                <w:color w:val="000000"/>
                <w:sz w:val="16"/>
                <w:szCs w:val="16"/>
              </w:rPr>
              <w:t>5,00%</w:t>
            </w:r>
          </w:p>
        </w:tc>
      </w:tr>
      <w:tr w:rsidR="00B50219" w:rsidRPr="0098062C" w:rsidTr="00B6079F">
        <w:trPr>
          <w:trHeight w:val="315"/>
        </w:trPr>
        <w:tc>
          <w:tcPr>
            <w:tcW w:w="820" w:type="dxa"/>
            <w:vMerge/>
            <w:tcBorders>
              <w:top w:val="nil"/>
              <w:left w:val="single" w:sz="8" w:space="0" w:color="auto"/>
              <w:bottom w:val="single" w:sz="8" w:space="0" w:color="000000"/>
              <w:right w:val="single" w:sz="8" w:space="0" w:color="auto"/>
            </w:tcBorders>
            <w:vAlign w:val="center"/>
            <w:hideMark/>
          </w:tcPr>
          <w:p w:rsidR="00B50219" w:rsidRPr="0098062C" w:rsidRDefault="00B50219" w:rsidP="00B6079F">
            <w:pPr>
              <w:rPr>
                <w:rFonts w:ascii="Calibri" w:hAnsi="Calibri"/>
                <w:b/>
                <w:bCs/>
                <w:color w:val="000000"/>
                <w:sz w:val="16"/>
                <w:szCs w:val="16"/>
              </w:rPr>
            </w:pPr>
          </w:p>
        </w:tc>
        <w:tc>
          <w:tcPr>
            <w:tcW w:w="4720" w:type="dxa"/>
            <w:tcBorders>
              <w:top w:val="single" w:sz="8" w:space="0" w:color="auto"/>
              <w:left w:val="nil"/>
              <w:bottom w:val="single" w:sz="8" w:space="0" w:color="auto"/>
              <w:right w:val="single" w:sz="4" w:space="0" w:color="auto"/>
            </w:tcBorders>
            <w:shd w:val="clear" w:color="000000" w:fill="D9D9D9"/>
            <w:noWrap/>
            <w:vAlign w:val="center"/>
            <w:hideMark/>
          </w:tcPr>
          <w:p w:rsidR="00B50219" w:rsidRPr="0098062C" w:rsidRDefault="00B50219" w:rsidP="00B6079F">
            <w:pPr>
              <w:jc w:val="center"/>
              <w:rPr>
                <w:rFonts w:ascii="Calibri" w:hAnsi="Calibri"/>
                <w:b/>
                <w:bCs/>
                <w:color w:val="000000"/>
                <w:sz w:val="16"/>
                <w:szCs w:val="16"/>
              </w:rPr>
            </w:pPr>
            <w:r w:rsidRPr="0098062C">
              <w:rPr>
                <w:rFonts w:ascii="Calibri" w:hAnsi="Calibri"/>
                <w:b/>
                <w:bCs/>
                <w:color w:val="000000"/>
                <w:sz w:val="16"/>
                <w:szCs w:val="16"/>
              </w:rPr>
              <w:t>Subtotal</w:t>
            </w:r>
          </w:p>
        </w:tc>
        <w:tc>
          <w:tcPr>
            <w:tcW w:w="1660"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B50219" w:rsidRPr="0098062C" w:rsidRDefault="00B50219" w:rsidP="00B6079F">
            <w:pPr>
              <w:jc w:val="center"/>
              <w:rPr>
                <w:rFonts w:ascii="Calibri" w:hAnsi="Calibri"/>
                <w:b/>
                <w:bCs/>
                <w:color w:val="000000"/>
                <w:sz w:val="16"/>
                <w:szCs w:val="16"/>
              </w:rPr>
            </w:pPr>
            <w:r w:rsidRPr="0098062C">
              <w:rPr>
                <w:rFonts w:ascii="Calibri" w:hAnsi="Calibri"/>
                <w:b/>
                <w:bCs/>
                <w:color w:val="000000"/>
                <w:sz w:val="16"/>
                <w:szCs w:val="16"/>
              </w:rPr>
              <w:t>55,00%</w:t>
            </w:r>
          </w:p>
        </w:tc>
        <w:tc>
          <w:tcPr>
            <w:tcW w:w="1660" w:type="dxa"/>
            <w:tcBorders>
              <w:top w:val="single" w:sz="8" w:space="0" w:color="auto"/>
              <w:left w:val="nil"/>
              <w:bottom w:val="single" w:sz="8" w:space="0" w:color="auto"/>
              <w:right w:val="single" w:sz="8" w:space="0" w:color="auto"/>
            </w:tcBorders>
            <w:shd w:val="clear" w:color="000000" w:fill="D9D9D9"/>
            <w:noWrap/>
            <w:vAlign w:val="center"/>
            <w:hideMark/>
          </w:tcPr>
          <w:p w:rsidR="00B50219" w:rsidRPr="0098062C" w:rsidRDefault="00B50219" w:rsidP="00B6079F">
            <w:pPr>
              <w:jc w:val="center"/>
              <w:rPr>
                <w:rFonts w:ascii="Calibri" w:hAnsi="Calibri"/>
                <w:b/>
                <w:bCs/>
                <w:color w:val="000000"/>
                <w:sz w:val="16"/>
                <w:szCs w:val="16"/>
              </w:rPr>
            </w:pPr>
            <w:r w:rsidRPr="0098062C">
              <w:rPr>
                <w:rFonts w:ascii="Calibri" w:hAnsi="Calibri"/>
                <w:b/>
                <w:bCs/>
                <w:color w:val="000000"/>
                <w:sz w:val="16"/>
                <w:szCs w:val="16"/>
              </w:rPr>
              <w:t>185,00%</w:t>
            </w:r>
          </w:p>
        </w:tc>
      </w:tr>
      <w:tr w:rsidR="00B50219" w:rsidRPr="0098062C" w:rsidTr="00B6079F">
        <w:trPr>
          <w:trHeight w:val="300"/>
        </w:trPr>
        <w:tc>
          <w:tcPr>
            <w:tcW w:w="82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B50219" w:rsidRPr="0098062C" w:rsidRDefault="00B50219" w:rsidP="00B6079F">
            <w:pPr>
              <w:jc w:val="center"/>
              <w:rPr>
                <w:rFonts w:ascii="Calibri" w:hAnsi="Calibri"/>
                <w:b/>
                <w:bCs/>
                <w:color w:val="000000"/>
                <w:sz w:val="16"/>
                <w:szCs w:val="16"/>
              </w:rPr>
            </w:pPr>
            <w:r w:rsidRPr="0098062C">
              <w:rPr>
                <w:rFonts w:ascii="Calibri" w:hAnsi="Calibri"/>
                <w:b/>
                <w:bCs/>
                <w:color w:val="000000"/>
                <w:sz w:val="16"/>
                <w:szCs w:val="16"/>
              </w:rPr>
              <w:t>Renda Variável</w:t>
            </w:r>
          </w:p>
        </w:tc>
        <w:tc>
          <w:tcPr>
            <w:tcW w:w="4720" w:type="dxa"/>
            <w:tcBorders>
              <w:top w:val="nil"/>
              <w:left w:val="nil"/>
              <w:bottom w:val="single" w:sz="4" w:space="0" w:color="auto"/>
              <w:right w:val="single" w:sz="4" w:space="0" w:color="auto"/>
            </w:tcBorders>
            <w:shd w:val="clear" w:color="auto" w:fill="auto"/>
            <w:noWrap/>
            <w:vAlign w:val="bottom"/>
            <w:hideMark/>
          </w:tcPr>
          <w:p w:rsidR="00B50219" w:rsidRPr="0098062C" w:rsidRDefault="00B50219" w:rsidP="00B6079F">
            <w:pPr>
              <w:rPr>
                <w:rFonts w:ascii="Calibri" w:hAnsi="Calibri"/>
                <w:color w:val="000000"/>
                <w:sz w:val="16"/>
                <w:szCs w:val="16"/>
              </w:rPr>
            </w:pPr>
            <w:r w:rsidRPr="0098062C">
              <w:rPr>
                <w:rFonts w:ascii="Calibri" w:hAnsi="Calibri"/>
                <w:color w:val="000000"/>
                <w:sz w:val="16"/>
                <w:szCs w:val="16"/>
              </w:rPr>
              <w:t>FI Ações Referenciados - Art. 8º, I</w:t>
            </w:r>
          </w:p>
        </w:tc>
        <w:tc>
          <w:tcPr>
            <w:tcW w:w="1660" w:type="dxa"/>
            <w:tcBorders>
              <w:top w:val="nil"/>
              <w:left w:val="nil"/>
              <w:bottom w:val="single" w:sz="4" w:space="0" w:color="auto"/>
              <w:right w:val="single" w:sz="4" w:space="0" w:color="auto"/>
            </w:tcBorders>
            <w:shd w:val="clear" w:color="000000" w:fill="F2F2F2"/>
            <w:noWrap/>
            <w:vAlign w:val="center"/>
            <w:hideMark/>
          </w:tcPr>
          <w:p w:rsidR="00B50219" w:rsidRPr="0098062C" w:rsidRDefault="00B50219" w:rsidP="00B6079F">
            <w:pPr>
              <w:jc w:val="center"/>
              <w:rPr>
                <w:rFonts w:ascii="Calibri" w:hAnsi="Calibri"/>
                <w:color w:val="000000"/>
                <w:sz w:val="16"/>
                <w:szCs w:val="16"/>
              </w:rPr>
            </w:pPr>
            <w:r w:rsidRPr="0098062C">
              <w:rPr>
                <w:rFonts w:ascii="Calibri" w:hAnsi="Calibri"/>
                <w:color w:val="000000"/>
                <w:sz w:val="16"/>
                <w:szCs w:val="16"/>
              </w:rPr>
              <w:t>0,00%</w:t>
            </w:r>
          </w:p>
        </w:tc>
        <w:tc>
          <w:tcPr>
            <w:tcW w:w="1660" w:type="dxa"/>
            <w:tcBorders>
              <w:top w:val="nil"/>
              <w:left w:val="nil"/>
              <w:bottom w:val="single" w:sz="4" w:space="0" w:color="auto"/>
              <w:right w:val="single" w:sz="8" w:space="0" w:color="auto"/>
            </w:tcBorders>
            <w:shd w:val="clear" w:color="000000" w:fill="F2F2F2"/>
            <w:noWrap/>
            <w:vAlign w:val="center"/>
            <w:hideMark/>
          </w:tcPr>
          <w:p w:rsidR="00B50219" w:rsidRPr="0098062C" w:rsidRDefault="00B50219" w:rsidP="00B6079F">
            <w:pPr>
              <w:jc w:val="center"/>
              <w:rPr>
                <w:rFonts w:ascii="Calibri" w:hAnsi="Calibri"/>
                <w:color w:val="000000"/>
                <w:sz w:val="16"/>
                <w:szCs w:val="16"/>
              </w:rPr>
            </w:pPr>
            <w:r>
              <w:rPr>
                <w:rFonts w:ascii="Calibri" w:hAnsi="Calibri"/>
                <w:color w:val="000000"/>
                <w:sz w:val="16"/>
                <w:szCs w:val="16"/>
              </w:rPr>
              <w:t>2</w:t>
            </w:r>
            <w:r w:rsidRPr="0098062C">
              <w:rPr>
                <w:rFonts w:ascii="Calibri" w:hAnsi="Calibri"/>
                <w:color w:val="000000"/>
                <w:sz w:val="16"/>
                <w:szCs w:val="16"/>
              </w:rPr>
              <w:t>,00%</w:t>
            </w:r>
          </w:p>
        </w:tc>
      </w:tr>
      <w:tr w:rsidR="00B50219" w:rsidRPr="0098062C" w:rsidTr="00B6079F">
        <w:trPr>
          <w:trHeight w:val="300"/>
        </w:trPr>
        <w:tc>
          <w:tcPr>
            <w:tcW w:w="820" w:type="dxa"/>
            <w:vMerge/>
            <w:tcBorders>
              <w:top w:val="nil"/>
              <w:left w:val="single" w:sz="8" w:space="0" w:color="auto"/>
              <w:bottom w:val="single" w:sz="8" w:space="0" w:color="000000"/>
              <w:right w:val="single" w:sz="8" w:space="0" w:color="auto"/>
            </w:tcBorders>
            <w:vAlign w:val="center"/>
            <w:hideMark/>
          </w:tcPr>
          <w:p w:rsidR="00B50219" w:rsidRPr="0098062C" w:rsidRDefault="00B50219" w:rsidP="00B6079F">
            <w:pPr>
              <w:rPr>
                <w:rFonts w:ascii="Calibri" w:hAnsi="Calibri"/>
                <w:b/>
                <w:bCs/>
                <w:color w:val="000000"/>
                <w:sz w:val="16"/>
                <w:szCs w:val="16"/>
              </w:rPr>
            </w:pPr>
          </w:p>
        </w:tc>
        <w:tc>
          <w:tcPr>
            <w:tcW w:w="4720" w:type="dxa"/>
            <w:tcBorders>
              <w:top w:val="nil"/>
              <w:left w:val="nil"/>
              <w:bottom w:val="single" w:sz="4" w:space="0" w:color="auto"/>
              <w:right w:val="single" w:sz="4" w:space="0" w:color="auto"/>
            </w:tcBorders>
            <w:shd w:val="clear" w:color="auto" w:fill="auto"/>
            <w:noWrap/>
            <w:vAlign w:val="bottom"/>
            <w:hideMark/>
          </w:tcPr>
          <w:p w:rsidR="00B50219" w:rsidRPr="0098062C" w:rsidRDefault="00B50219" w:rsidP="00B6079F">
            <w:pPr>
              <w:rPr>
                <w:rFonts w:ascii="Calibri" w:hAnsi="Calibri"/>
                <w:color w:val="000000"/>
                <w:sz w:val="16"/>
                <w:szCs w:val="16"/>
              </w:rPr>
            </w:pPr>
            <w:r w:rsidRPr="0098062C">
              <w:rPr>
                <w:rFonts w:ascii="Calibri" w:hAnsi="Calibri"/>
                <w:color w:val="000000"/>
                <w:sz w:val="16"/>
                <w:szCs w:val="16"/>
              </w:rPr>
              <w:t>FI de Índices Referenciados em Ações - Art. 8º, II</w:t>
            </w:r>
          </w:p>
        </w:tc>
        <w:tc>
          <w:tcPr>
            <w:tcW w:w="1660" w:type="dxa"/>
            <w:tcBorders>
              <w:top w:val="nil"/>
              <w:left w:val="nil"/>
              <w:bottom w:val="single" w:sz="4" w:space="0" w:color="auto"/>
              <w:right w:val="single" w:sz="4" w:space="0" w:color="auto"/>
            </w:tcBorders>
            <w:shd w:val="clear" w:color="000000" w:fill="F2F2F2"/>
            <w:noWrap/>
            <w:vAlign w:val="center"/>
            <w:hideMark/>
          </w:tcPr>
          <w:p w:rsidR="00B50219" w:rsidRPr="0098062C" w:rsidRDefault="00B50219" w:rsidP="00B6079F">
            <w:pPr>
              <w:jc w:val="center"/>
              <w:rPr>
                <w:rFonts w:ascii="Calibri" w:hAnsi="Calibri"/>
                <w:color w:val="000000"/>
                <w:sz w:val="16"/>
                <w:szCs w:val="16"/>
              </w:rPr>
            </w:pPr>
            <w:r w:rsidRPr="0098062C">
              <w:rPr>
                <w:rFonts w:ascii="Calibri" w:hAnsi="Calibri"/>
                <w:color w:val="000000"/>
                <w:sz w:val="16"/>
                <w:szCs w:val="16"/>
              </w:rPr>
              <w:t>0,00%</w:t>
            </w:r>
          </w:p>
        </w:tc>
        <w:tc>
          <w:tcPr>
            <w:tcW w:w="1660" w:type="dxa"/>
            <w:tcBorders>
              <w:top w:val="nil"/>
              <w:left w:val="nil"/>
              <w:bottom w:val="single" w:sz="4" w:space="0" w:color="auto"/>
              <w:right w:val="single" w:sz="8" w:space="0" w:color="auto"/>
            </w:tcBorders>
            <w:shd w:val="clear" w:color="000000" w:fill="F2F2F2"/>
            <w:noWrap/>
            <w:vAlign w:val="center"/>
            <w:hideMark/>
          </w:tcPr>
          <w:p w:rsidR="00B50219" w:rsidRPr="0098062C" w:rsidRDefault="00B50219" w:rsidP="00B6079F">
            <w:pPr>
              <w:jc w:val="center"/>
              <w:rPr>
                <w:rFonts w:ascii="Calibri" w:hAnsi="Calibri"/>
                <w:color w:val="000000"/>
                <w:sz w:val="16"/>
                <w:szCs w:val="16"/>
              </w:rPr>
            </w:pPr>
            <w:r w:rsidRPr="0098062C">
              <w:rPr>
                <w:rFonts w:ascii="Calibri" w:hAnsi="Calibri"/>
                <w:color w:val="000000"/>
                <w:sz w:val="16"/>
                <w:szCs w:val="16"/>
              </w:rPr>
              <w:t>0,00%</w:t>
            </w:r>
          </w:p>
        </w:tc>
      </w:tr>
      <w:tr w:rsidR="00B50219" w:rsidRPr="0098062C" w:rsidTr="00B6079F">
        <w:trPr>
          <w:trHeight w:val="300"/>
        </w:trPr>
        <w:tc>
          <w:tcPr>
            <w:tcW w:w="820" w:type="dxa"/>
            <w:vMerge/>
            <w:tcBorders>
              <w:top w:val="nil"/>
              <w:left w:val="single" w:sz="8" w:space="0" w:color="auto"/>
              <w:bottom w:val="single" w:sz="8" w:space="0" w:color="000000"/>
              <w:right w:val="single" w:sz="8" w:space="0" w:color="auto"/>
            </w:tcBorders>
            <w:vAlign w:val="center"/>
            <w:hideMark/>
          </w:tcPr>
          <w:p w:rsidR="00B50219" w:rsidRPr="0098062C" w:rsidRDefault="00B50219" w:rsidP="00B6079F">
            <w:pPr>
              <w:rPr>
                <w:rFonts w:ascii="Calibri" w:hAnsi="Calibri"/>
                <w:b/>
                <w:bCs/>
                <w:color w:val="000000"/>
                <w:sz w:val="16"/>
                <w:szCs w:val="16"/>
              </w:rPr>
            </w:pPr>
          </w:p>
        </w:tc>
        <w:tc>
          <w:tcPr>
            <w:tcW w:w="4720" w:type="dxa"/>
            <w:tcBorders>
              <w:top w:val="nil"/>
              <w:left w:val="nil"/>
              <w:bottom w:val="single" w:sz="4" w:space="0" w:color="auto"/>
              <w:right w:val="single" w:sz="4" w:space="0" w:color="auto"/>
            </w:tcBorders>
            <w:shd w:val="clear" w:color="auto" w:fill="auto"/>
            <w:noWrap/>
            <w:vAlign w:val="bottom"/>
            <w:hideMark/>
          </w:tcPr>
          <w:p w:rsidR="00B50219" w:rsidRPr="0098062C" w:rsidRDefault="00B50219" w:rsidP="00B6079F">
            <w:pPr>
              <w:rPr>
                <w:rFonts w:ascii="Calibri" w:hAnsi="Calibri"/>
                <w:color w:val="000000"/>
                <w:sz w:val="16"/>
                <w:szCs w:val="16"/>
              </w:rPr>
            </w:pPr>
            <w:r w:rsidRPr="0098062C">
              <w:rPr>
                <w:rFonts w:ascii="Calibri" w:hAnsi="Calibri"/>
                <w:color w:val="000000"/>
                <w:sz w:val="16"/>
                <w:szCs w:val="16"/>
              </w:rPr>
              <w:t>FI em Ações - Art. 8º, III</w:t>
            </w:r>
          </w:p>
        </w:tc>
        <w:tc>
          <w:tcPr>
            <w:tcW w:w="1660" w:type="dxa"/>
            <w:tcBorders>
              <w:top w:val="nil"/>
              <w:left w:val="nil"/>
              <w:bottom w:val="single" w:sz="4" w:space="0" w:color="auto"/>
              <w:right w:val="single" w:sz="4" w:space="0" w:color="auto"/>
            </w:tcBorders>
            <w:shd w:val="clear" w:color="000000" w:fill="F2F2F2"/>
            <w:noWrap/>
            <w:vAlign w:val="center"/>
            <w:hideMark/>
          </w:tcPr>
          <w:p w:rsidR="00B50219" w:rsidRPr="0098062C" w:rsidRDefault="00B50219" w:rsidP="00B6079F">
            <w:pPr>
              <w:jc w:val="center"/>
              <w:rPr>
                <w:rFonts w:ascii="Calibri" w:hAnsi="Calibri"/>
                <w:color w:val="000000"/>
                <w:sz w:val="16"/>
                <w:szCs w:val="16"/>
              </w:rPr>
            </w:pPr>
            <w:r w:rsidRPr="0098062C">
              <w:rPr>
                <w:rFonts w:ascii="Calibri" w:hAnsi="Calibri"/>
                <w:color w:val="000000"/>
                <w:sz w:val="16"/>
                <w:szCs w:val="16"/>
              </w:rPr>
              <w:t>5,00%</w:t>
            </w:r>
          </w:p>
        </w:tc>
        <w:tc>
          <w:tcPr>
            <w:tcW w:w="1660" w:type="dxa"/>
            <w:tcBorders>
              <w:top w:val="nil"/>
              <w:left w:val="nil"/>
              <w:bottom w:val="single" w:sz="4" w:space="0" w:color="auto"/>
              <w:right w:val="single" w:sz="8" w:space="0" w:color="auto"/>
            </w:tcBorders>
            <w:shd w:val="clear" w:color="000000" w:fill="F2F2F2"/>
            <w:noWrap/>
            <w:vAlign w:val="center"/>
            <w:hideMark/>
          </w:tcPr>
          <w:p w:rsidR="00B50219" w:rsidRPr="0098062C" w:rsidRDefault="00B50219" w:rsidP="00B6079F">
            <w:pPr>
              <w:jc w:val="center"/>
              <w:rPr>
                <w:rFonts w:ascii="Calibri" w:hAnsi="Calibri"/>
                <w:color w:val="000000"/>
                <w:sz w:val="16"/>
                <w:szCs w:val="16"/>
              </w:rPr>
            </w:pPr>
            <w:r w:rsidRPr="0098062C">
              <w:rPr>
                <w:rFonts w:ascii="Calibri" w:hAnsi="Calibri"/>
                <w:color w:val="000000"/>
                <w:sz w:val="16"/>
                <w:szCs w:val="16"/>
              </w:rPr>
              <w:t>15,00%</w:t>
            </w:r>
          </w:p>
        </w:tc>
      </w:tr>
      <w:tr w:rsidR="00B50219" w:rsidRPr="0098062C" w:rsidTr="00B6079F">
        <w:trPr>
          <w:trHeight w:val="300"/>
        </w:trPr>
        <w:tc>
          <w:tcPr>
            <w:tcW w:w="820" w:type="dxa"/>
            <w:vMerge/>
            <w:tcBorders>
              <w:top w:val="nil"/>
              <w:left w:val="single" w:sz="8" w:space="0" w:color="auto"/>
              <w:bottom w:val="single" w:sz="8" w:space="0" w:color="000000"/>
              <w:right w:val="single" w:sz="8" w:space="0" w:color="auto"/>
            </w:tcBorders>
            <w:vAlign w:val="center"/>
            <w:hideMark/>
          </w:tcPr>
          <w:p w:rsidR="00B50219" w:rsidRPr="0098062C" w:rsidRDefault="00B50219" w:rsidP="00B6079F">
            <w:pPr>
              <w:rPr>
                <w:rFonts w:ascii="Calibri" w:hAnsi="Calibri"/>
                <w:b/>
                <w:bCs/>
                <w:color w:val="000000"/>
                <w:sz w:val="16"/>
                <w:szCs w:val="16"/>
              </w:rPr>
            </w:pPr>
          </w:p>
        </w:tc>
        <w:tc>
          <w:tcPr>
            <w:tcW w:w="4720" w:type="dxa"/>
            <w:tcBorders>
              <w:top w:val="nil"/>
              <w:left w:val="nil"/>
              <w:bottom w:val="single" w:sz="4" w:space="0" w:color="auto"/>
              <w:right w:val="single" w:sz="4" w:space="0" w:color="auto"/>
            </w:tcBorders>
            <w:shd w:val="clear" w:color="auto" w:fill="auto"/>
            <w:noWrap/>
            <w:vAlign w:val="bottom"/>
            <w:hideMark/>
          </w:tcPr>
          <w:p w:rsidR="00B50219" w:rsidRPr="0098062C" w:rsidRDefault="00B50219" w:rsidP="00B6079F">
            <w:pPr>
              <w:rPr>
                <w:rFonts w:ascii="Calibri" w:hAnsi="Calibri"/>
                <w:color w:val="000000"/>
                <w:sz w:val="16"/>
                <w:szCs w:val="16"/>
              </w:rPr>
            </w:pPr>
            <w:r w:rsidRPr="0098062C">
              <w:rPr>
                <w:rFonts w:ascii="Calibri" w:hAnsi="Calibri"/>
                <w:color w:val="000000"/>
                <w:sz w:val="16"/>
                <w:szCs w:val="16"/>
              </w:rPr>
              <w:t>FI Multimercado - aberto - Art. 8º, IV</w:t>
            </w:r>
          </w:p>
        </w:tc>
        <w:tc>
          <w:tcPr>
            <w:tcW w:w="1660" w:type="dxa"/>
            <w:tcBorders>
              <w:top w:val="nil"/>
              <w:left w:val="nil"/>
              <w:bottom w:val="single" w:sz="4" w:space="0" w:color="auto"/>
              <w:right w:val="single" w:sz="4" w:space="0" w:color="auto"/>
            </w:tcBorders>
            <w:shd w:val="clear" w:color="000000" w:fill="F2F2F2"/>
            <w:noWrap/>
            <w:vAlign w:val="center"/>
            <w:hideMark/>
          </w:tcPr>
          <w:p w:rsidR="00B50219" w:rsidRPr="0098062C" w:rsidRDefault="00B50219" w:rsidP="00B6079F">
            <w:pPr>
              <w:jc w:val="center"/>
              <w:rPr>
                <w:rFonts w:ascii="Calibri" w:hAnsi="Calibri"/>
                <w:color w:val="000000"/>
                <w:sz w:val="16"/>
                <w:szCs w:val="16"/>
              </w:rPr>
            </w:pPr>
            <w:r w:rsidRPr="0098062C">
              <w:rPr>
                <w:rFonts w:ascii="Calibri" w:hAnsi="Calibri"/>
                <w:color w:val="000000"/>
                <w:sz w:val="16"/>
                <w:szCs w:val="16"/>
              </w:rPr>
              <w:t>2,00%</w:t>
            </w:r>
          </w:p>
        </w:tc>
        <w:tc>
          <w:tcPr>
            <w:tcW w:w="1660" w:type="dxa"/>
            <w:tcBorders>
              <w:top w:val="nil"/>
              <w:left w:val="nil"/>
              <w:bottom w:val="single" w:sz="4" w:space="0" w:color="auto"/>
              <w:right w:val="single" w:sz="8" w:space="0" w:color="auto"/>
            </w:tcBorders>
            <w:shd w:val="clear" w:color="000000" w:fill="F2F2F2"/>
            <w:noWrap/>
            <w:vAlign w:val="center"/>
            <w:hideMark/>
          </w:tcPr>
          <w:p w:rsidR="00B50219" w:rsidRPr="0098062C" w:rsidRDefault="00B50219" w:rsidP="00B6079F">
            <w:pPr>
              <w:jc w:val="center"/>
              <w:rPr>
                <w:rFonts w:ascii="Calibri" w:hAnsi="Calibri"/>
                <w:color w:val="000000"/>
                <w:sz w:val="16"/>
                <w:szCs w:val="16"/>
              </w:rPr>
            </w:pPr>
            <w:r w:rsidRPr="0098062C">
              <w:rPr>
                <w:rFonts w:ascii="Calibri" w:hAnsi="Calibri"/>
                <w:color w:val="000000"/>
                <w:sz w:val="16"/>
                <w:szCs w:val="16"/>
              </w:rPr>
              <w:t>5,00%</w:t>
            </w:r>
          </w:p>
        </w:tc>
      </w:tr>
      <w:tr w:rsidR="00B50219" w:rsidRPr="0098062C" w:rsidTr="00B6079F">
        <w:trPr>
          <w:trHeight w:val="300"/>
        </w:trPr>
        <w:tc>
          <w:tcPr>
            <w:tcW w:w="820" w:type="dxa"/>
            <w:vMerge/>
            <w:tcBorders>
              <w:top w:val="nil"/>
              <w:left w:val="single" w:sz="8" w:space="0" w:color="auto"/>
              <w:bottom w:val="single" w:sz="8" w:space="0" w:color="000000"/>
              <w:right w:val="single" w:sz="8" w:space="0" w:color="auto"/>
            </w:tcBorders>
            <w:vAlign w:val="center"/>
            <w:hideMark/>
          </w:tcPr>
          <w:p w:rsidR="00B50219" w:rsidRPr="0098062C" w:rsidRDefault="00B50219" w:rsidP="00B6079F">
            <w:pPr>
              <w:rPr>
                <w:rFonts w:ascii="Calibri" w:hAnsi="Calibri"/>
                <w:b/>
                <w:bCs/>
                <w:color w:val="000000"/>
                <w:sz w:val="16"/>
                <w:szCs w:val="16"/>
              </w:rPr>
            </w:pPr>
          </w:p>
        </w:tc>
        <w:tc>
          <w:tcPr>
            <w:tcW w:w="4720" w:type="dxa"/>
            <w:tcBorders>
              <w:top w:val="nil"/>
              <w:left w:val="nil"/>
              <w:bottom w:val="single" w:sz="4" w:space="0" w:color="auto"/>
              <w:right w:val="single" w:sz="4" w:space="0" w:color="auto"/>
            </w:tcBorders>
            <w:shd w:val="clear" w:color="auto" w:fill="auto"/>
            <w:noWrap/>
            <w:vAlign w:val="bottom"/>
            <w:hideMark/>
          </w:tcPr>
          <w:p w:rsidR="00B50219" w:rsidRPr="0098062C" w:rsidRDefault="00B50219" w:rsidP="00B6079F">
            <w:pPr>
              <w:rPr>
                <w:rFonts w:ascii="Calibri" w:hAnsi="Calibri"/>
                <w:color w:val="000000"/>
                <w:sz w:val="16"/>
                <w:szCs w:val="16"/>
              </w:rPr>
            </w:pPr>
            <w:r w:rsidRPr="0098062C">
              <w:rPr>
                <w:rFonts w:ascii="Calibri" w:hAnsi="Calibri"/>
                <w:color w:val="000000"/>
                <w:sz w:val="16"/>
                <w:szCs w:val="16"/>
              </w:rPr>
              <w:t>FI em Participações - fechado - Art. 8º, V</w:t>
            </w:r>
          </w:p>
        </w:tc>
        <w:tc>
          <w:tcPr>
            <w:tcW w:w="1660" w:type="dxa"/>
            <w:tcBorders>
              <w:top w:val="nil"/>
              <w:left w:val="nil"/>
              <w:bottom w:val="single" w:sz="4" w:space="0" w:color="auto"/>
              <w:right w:val="single" w:sz="4" w:space="0" w:color="auto"/>
            </w:tcBorders>
            <w:shd w:val="clear" w:color="000000" w:fill="F2F2F2"/>
            <w:noWrap/>
            <w:vAlign w:val="center"/>
            <w:hideMark/>
          </w:tcPr>
          <w:p w:rsidR="00B50219" w:rsidRPr="0098062C" w:rsidRDefault="00B50219" w:rsidP="00B6079F">
            <w:pPr>
              <w:jc w:val="center"/>
              <w:rPr>
                <w:rFonts w:ascii="Calibri" w:hAnsi="Calibri"/>
                <w:color w:val="000000"/>
                <w:sz w:val="16"/>
                <w:szCs w:val="16"/>
              </w:rPr>
            </w:pPr>
            <w:r w:rsidRPr="0098062C">
              <w:rPr>
                <w:rFonts w:ascii="Calibri" w:hAnsi="Calibri"/>
                <w:color w:val="000000"/>
                <w:sz w:val="16"/>
                <w:szCs w:val="16"/>
              </w:rPr>
              <w:t>2,00%</w:t>
            </w:r>
          </w:p>
        </w:tc>
        <w:tc>
          <w:tcPr>
            <w:tcW w:w="1660" w:type="dxa"/>
            <w:tcBorders>
              <w:top w:val="nil"/>
              <w:left w:val="nil"/>
              <w:bottom w:val="single" w:sz="4" w:space="0" w:color="auto"/>
              <w:right w:val="single" w:sz="8" w:space="0" w:color="auto"/>
            </w:tcBorders>
            <w:shd w:val="clear" w:color="000000" w:fill="F2F2F2"/>
            <w:noWrap/>
            <w:vAlign w:val="center"/>
            <w:hideMark/>
          </w:tcPr>
          <w:p w:rsidR="00B50219" w:rsidRPr="0098062C" w:rsidRDefault="00B50219" w:rsidP="00B6079F">
            <w:pPr>
              <w:jc w:val="center"/>
              <w:rPr>
                <w:rFonts w:ascii="Calibri" w:hAnsi="Calibri"/>
                <w:color w:val="000000"/>
                <w:sz w:val="16"/>
                <w:szCs w:val="16"/>
              </w:rPr>
            </w:pPr>
            <w:r w:rsidRPr="0098062C">
              <w:rPr>
                <w:rFonts w:ascii="Calibri" w:hAnsi="Calibri"/>
                <w:color w:val="000000"/>
                <w:sz w:val="16"/>
                <w:szCs w:val="16"/>
              </w:rPr>
              <w:t>5,00%</w:t>
            </w:r>
          </w:p>
        </w:tc>
      </w:tr>
      <w:tr w:rsidR="00B50219" w:rsidRPr="0098062C" w:rsidTr="00B6079F">
        <w:trPr>
          <w:trHeight w:val="315"/>
        </w:trPr>
        <w:tc>
          <w:tcPr>
            <w:tcW w:w="820" w:type="dxa"/>
            <w:vMerge/>
            <w:tcBorders>
              <w:top w:val="nil"/>
              <w:left w:val="single" w:sz="8" w:space="0" w:color="auto"/>
              <w:bottom w:val="single" w:sz="8" w:space="0" w:color="000000"/>
              <w:right w:val="single" w:sz="8" w:space="0" w:color="auto"/>
            </w:tcBorders>
            <w:vAlign w:val="center"/>
            <w:hideMark/>
          </w:tcPr>
          <w:p w:rsidR="00B50219" w:rsidRPr="0098062C" w:rsidRDefault="00B50219" w:rsidP="00B6079F">
            <w:pPr>
              <w:rPr>
                <w:rFonts w:ascii="Calibri" w:hAnsi="Calibri"/>
                <w:b/>
                <w:bCs/>
                <w:color w:val="000000"/>
                <w:sz w:val="16"/>
                <w:szCs w:val="16"/>
              </w:rPr>
            </w:pPr>
          </w:p>
        </w:tc>
        <w:tc>
          <w:tcPr>
            <w:tcW w:w="4720" w:type="dxa"/>
            <w:tcBorders>
              <w:top w:val="nil"/>
              <w:left w:val="nil"/>
              <w:bottom w:val="nil"/>
              <w:right w:val="single" w:sz="4" w:space="0" w:color="auto"/>
            </w:tcBorders>
            <w:shd w:val="clear" w:color="auto" w:fill="auto"/>
            <w:noWrap/>
            <w:vAlign w:val="bottom"/>
            <w:hideMark/>
          </w:tcPr>
          <w:p w:rsidR="00B50219" w:rsidRPr="0098062C" w:rsidRDefault="00B50219" w:rsidP="00B6079F">
            <w:pPr>
              <w:rPr>
                <w:rFonts w:ascii="Calibri" w:hAnsi="Calibri"/>
                <w:color w:val="000000"/>
                <w:sz w:val="16"/>
                <w:szCs w:val="16"/>
              </w:rPr>
            </w:pPr>
            <w:r w:rsidRPr="0098062C">
              <w:rPr>
                <w:rFonts w:ascii="Calibri" w:hAnsi="Calibri"/>
                <w:color w:val="000000"/>
                <w:sz w:val="16"/>
                <w:szCs w:val="16"/>
              </w:rPr>
              <w:t>FI Imobiliário - cotas negociadas em bolsa - Art. 8º, VI</w:t>
            </w:r>
          </w:p>
        </w:tc>
        <w:tc>
          <w:tcPr>
            <w:tcW w:w="1660" w:type="dxa"/>
            <w:tcBorders>
              <w:top w:val="nil"/>
              <w:left w:val="nil"/>
              <w:bottom w:val="nil"/>
              <w:right w:val="single" w:sz="4" w:space="0" w:color="auto"/>
            </w:tcBorders>
            <w:shd w:val="clear" w:color="000000" w:fill="F2F2F2"/>
            <w:noWrap/>
            <w:vAlign w:val="center"/>
            <w:hideMark/>
          </w:tcPr>
          <w:p w:rsidR="00B50219" w:rsidRPr="0098062C" w:rsidRDefault="00B50219" w:rsidP="00B6079F">
            <w:pPr>
              <w:jc w:val="center"/>
              <w:rPr>
                <w:rFonts w:ascii="Calibri" w:hAnsi="Calibri"/>
                <w:color w:val="000000"/>
                <w:sz w:val="16"/>
                <w:szCs w:val="16"/>
              </w:rPr>
            </w:pPr>
            <w:r w:rsidRPr="0098062C">
              <w:rPr>
                <w:rFonts w:ascii="Calibri" w:hAnsi="Calibri"/>
                <w:color w:val="000000"/>
                <w:sz w:val="16"/>
                <w:szCs w:val="16"/>
              </w:rPr>
              <w:t>2,00%</w:t>
            </w:r>
          </w:p>
        </w:tc>
        <w:tc>
          <w:tcPr>
            <w:tcW w:w="1660" w:type="dxa"/>
            <w:tcBorders>
              <w:top w:val="nil"/>
              <w:left w:val="nil"/>
              <w:bottom w:val="nil"/>
              <w:right w:val="single" w:sz="8" w:space="0" w:color="auto"/>
            </w:tcBorders>
            <w:shd w:val="clear" w:color="000000" w:fill="F2F2F2"/>
            <w:noWrap/>
            <w:vAlign w:val="center"/>
            <w:hideMark/>
          </w:tcPr>
          <w:p w:rsidR="00B50219" w:rsidRPr="0098062C" w:rsidRDefault="00B50219" w:rsidP="00B6079F">
            <w:pPr>
              <w:jc w:val="center"/>
              <w:rPr>
                <w:rFonts w:ascii="Calibri" w:hAnsi="Calibri"/>
                <w:color w:val="000000"/>
                <w:sz w:val="16"/>
                <w:szCs w:val="16"/>
              </w:rPr>
            </w:pPr>
            <w:r w:rsidRPr="0098062C">
              <w:rPr>
                <w:rFonts w:ascii="Calibri" w:hAnsi="Calibri"/>
                <w:color w:val="000000"/>
                <w:sz w:val="16"/>
                <w:szCs w:val="16"/>
              </w:rPr>
              <w:t>5,00%</w:t>
            </w:r>
          </w:p>
        </w:tc>
      </w:tr>
      <w:tr w:rsidR="00B50219" w:rsidRPr="0098062C" w:rsidTr="00B6079F">
        <w:trPr>
          <w:trHeight w:val="315"/>
        </w:trPr>
        <w:tc>
          <w:tcPr>
            <w:tcW w:w="820" w:type="dxa"/>
            <w:vMerge/>
            <w:tcBorders>
              <w:top w:val="nil"/>
              <w:left w:val="single" w:sz="8" w:space="0" w:color="auto"/>
              <w:bottom w:val="single" w:sz="8" w:space="0" w:color="000000"/>
              <w:right w:val="single" w:sz="8" w:space="0" w:color="auto"/>
            </w:tcBorders>
            <w:vAlign w:val="center"/>
            <w:hideMark/>
          </w:tcPr>
          <w:p w:rsidR="00B50219" w:rsidRPr="0098062C" w:rsidRDefault="00B50219" w:rsidP="00B6079F">
            <w:pPr>
              <w:rPr>
                <w:rFonts w:ascii="Calibri" w:hAnsi="Calibri"/>
                <w:b/>
                <w:bCs/>
                <w:color w:val="000000"/>
                <w:sz w:val="16"/>
                <w:szCs w:val="16"/>
              </w:rPr>
            </w:pPr>
          </w:p>
        </w:tc>
        <w:tc>
          <w:tcPr>
            <w:tcW w:w="4720" w:type="dxa"/>
            <w:tcBorders>
              <w:top w:val="single" w:sz="8" w:space="0" w:color="auto"/>
              <w:left w:val="nil"/>
              <w:bottom w:val="single" w:sz="8" w:space="0" w:color="auto"/>
              <w:right w:val="single" w:sz="4" w:space="0" w:color="auto"/>
            </w:tcBorders>
            <w:shd w:val="clear" w:color="000000" w:fill="D9D9D9"/>
            <w:noWrap/>
            <w:vAlign w:val="center"/>
            <w:hideMark/>
          </w:tcPr>
          <w:p w:rsidR="00B50219" w:rsidRPr="0098062C" w:rsidRDefault="00B50219" w:rsidP="00B6079F">
            <w:pPr>
              <w:jc w:val="center"/>
              <w:rPr>
                <w:rFonts w:ascii="Calibri" w:hAnsi="Calibri"/>
                <w:b/>
                <w:bCs/>
                <w:color w:val="000000"/>
                <w:sz w:val="16"/>
                <w:szCs w:val="16"/>
              </w:rPr>
            </w:pPr>
            <w:r w:rsidRPr="0098062C">
              <w:rPr>
                <w:rFonts w:ascii="Calibri" w:hAnsi="Calibri"/>
                <w:b/>
                <w:bCs/>
                <w:color w:val="000000"/>
                <w:sz w:val="16"/>
                <w:szCs w:val="16"/>
              </w:rPr>
              <w:t>Subtotal</w:t>
            </w:r>
          </w:p>
        </w:tc>
        <w:tc>
          <w:tcPr>
            <w:tcW w:w="1660"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B50219" w:rsidRPr="0098062C" w:rsidRDefault="00B50219" w:rsidP="00B6079F">
            <w:pPr>
              <w:jc w:val="center"/>
              <w:rPr>
                <w:rFonts w:ascii="Calibri" w:hAnsi="Calibri"/>
                <w:b/>
                <w:bCs/>
                <w:color w:val="000000"/>
                <w:sz w:val="16"/>
                <w:szCs w:val="16"/>
              </w:rPr>
            </w:pPr>
            <w:r w:rsidRPr="0098062C">
              <w:rPr>
                <w:rFonts w:ascii="Calibri" w:hAnsi="Calibri"/>
                <w:b/>
                <w:bCs/>
                <w:color w:val="000000"/>
                <w:sz w:val="16"/>
                <w:szCs w:val="16"/>
              </w:rPr>
              <w:t>11,00%</w:t>
            </w:r>
          </w:p>
        </w:tc>
        <w:tc>
          <w:tcPr>
            <w:tcW w:w="1660" w:type="dxa"/>
            <w:tcBorders>
              <w:top w:val="single" w:sz="8" w:space="0" w:color="auto"/>
              <w:left w:val="nil"/>
              <w:bottom w:val="single" w:sz="8" w:space="0" w:color="auto"/>
              <w:right w:val="single" w:sz="8" w:space="0" w:color="auto"/>
            </w:tcBorders>
            <w:shd w:val="clear" w:color="000000" w:fill="D9D9D9"/>
            <w:noWrap/>
            <w:vAlign w:val="center"/>
            <w:hideMark/>
          </w:tcPr>
          <w:p w:rsidR="00B50219" w:rsidRPr="0098062C" w:rsidRDefault="00B50219" w:rsidP="00B6079F">
            <w:pPr>
              <w:jc w:val="center"/>
              <w:rPr>
                <w:rFonts w:ascii="Calibri" w:hAnsi="Calibri"/>
                <w:b/>
                <w:bCs/>
                <w:color w:val="000000"/>
                <w:sz w:val="16"/>
                <w:szCs w:val="16"/>
              </w:rPr>
            </w:pPr>
            <w:r>
              <w:rPr>
                <w:rFonts w:ascii="Calibri" w:hAnsi="Calibri"/>
                <w:b/>
                <w:bCs/>
                <w:color w:val="000000"/>
                <w:sz w:val="16"/>
                <w:szCs w:val="16"/>
              </w:rPr>
              <w:t>32</w:t>
            </w:r>
            <w:r w:rsidRPr="0098062C">
              <w:rPr>
                <w:rFonts w:ascii="Calibri" w:hAnsi="Calibri"/>
                <w:b/>
                <w:bCs/>
                <w:color w:val="000000"/>
                <w:sz w:val="16"/>
                <w:szCs w:val="16"/>
              </w:rPr>
              <w:t>,00%</w:t>
            </w:r>
          </w:p>
        </w:tc>
      </w:tr>
      <w:tr w:rsidR="00B50219" w:rsidRPr="0098062C" w:rsidTr="00B6079F">
        <w:trPr>
          <w:trHeight w:val="315"/>
        </w:trPr>
        <w:tc>
          <w:tcPr>
            <w:tcW w:w="820" w:type="dxa"/>
            <w:tcBorders>
              <w:top w:val="nil"/>
              <w:left w:val="nil"/>
              <w:bottom w:val="nil"/>
              <w:right w:val="nil"/>
            </w:tcBorders>
            <w:shd w:val="clear" w:color="auto" w:fill="auto"/>
            <w:noWrap/>
            <w:vAlign w:val="bottom"/>
            <w:hideMark/>
          </w:tcPr>
          <w:p w:rsidR="00B50219" w:rsidRPr="0098062C" w:rsidRDefault="00B50219" w:rsidP="00B6079F">
            <w:pPr>
              <w:jc w:val="center"/>
              <w:rPr>
                <w:rFonts w:ascii="Calibri" w:hAnsi="Calibri"/>
                <w:b/>
                <w:bCs/>
                <w:color w:val="000000"/>
                <w:sz w:val="16"/>
                <w:szCs w:val="16"/>
              </w:rPr>
            </w:pPr>
          </w:p>
        </w:tc>
        <w:tc>
          <w:tcPr>
            <w:tcW w:w="4720" w:type="dxa"/>
            <w:tcBorders>
              <w:top w:val="nil"/>
              <w:left w:val="single" w:sz="8" w:space="0" w:color="auto"/>
              <w:bottom w:val="single" w:sz="8" w:space="0" w:color="auto"/>
              <w:right w:val="single" w:sz="4" w:space="0" w:color="auto"/>
            </w:tcBorders>
            <w:shd w:val="clear" w:color="000000" w:fill="A6A6A6"/>
            <w:noWrap/>
            <w:vAlign w:val="center"/>
            <w:hideMark/>
          </w:tcPr>
          <w:p w:rsidR="00B50219" w:rsidRPr="0098062C" w:rsidRDefault="00B50219" w:rsidP="00B6079F">
            <w:pPr>
              <w:jc w:val="center"/>
              <w:rPr>
                <w:rFonts w:ascii="Calibri" w:hAnsi="Calibri"/>
                <w:b/>
                <w:bCs/>
                <w:color w:val="000000"/>
                <w:sz w:val="16"/>
                <w:szCs w:val="16"/>
              </w:rPr>
            </w:pPr>
            <w:r w:rsidRPr="0098062C">
              <w:rPr>
                <w:rFonts w:ascii="Calibri" w:hAnsi="Calibri"/>
                <w:b/>
                <w:bCs/>
                <w:color w:val="000000"/>
                <w:sz w:val="16"/>
                <w:szCs w:val="16"/>
              </w:rPr>
              <w:t>Total Geral</w:t>
            </w:r>
          </w:p>
        </w:tc>
        <w:tc>
          <w:tcPr>
            <w:tcW w:w="1660" w:type="dxa"/>
            <w:tcBorders>
              <w:top w:val="nil"/>
              <w:left w:val="single" w:sz="8" w:space="0" w:color="auto"/>
              <w:bottom w:val="single" w:sz="8" w:space="0" w:color="auto"/>
              <w:right w:val="single" w:sz="4" w:space="0" w:color="auto"/>
            </w:tcBorders>
            <w:shd w:val="clear" w:color="000000" w:fill="A6A6A6"/>
            <w:noWrap/>
            <w:vAlign w:val="center"/>
            <w:hideMark/>
          </w:tcPr>
          <w:p w:rsidR="00B50219" w:rsidRPr="0098062C" w:rsidRDefault="00B50219" w:rsidP="00B6079F">
            <w:pPr>
              <w:jc w:val="center"/>
              <w:rPr>
                <w:rFonts w:ascii="Calibri" w:hAnsi="Calibri"/>
                <w:b/>
                <w:bCs/>
                <w:color w:val="000000"/>
                <w:sz w:val="16"/>
                <w:szCs w:val="16"/>
              </w:rPr>
            </w:pPr>
            <w:r w:rsidRPr="0098062C">
              <w:rPr>
                <w:rFonts w:ascii="Calibri" w:hAnsi="Calibri"/>
                <w:b/>
                <w:bCs/>
                <w:color w:val="000000"/>
                <w:sz w:val="16"/>
                <w:szCs w:val="16"/>
              </w:rPr>
              <w:t>66,00%</w:t>
            </w:r>
          </w:p>
        </w:tc>
        <w:tc>
          <w:tcPr>
            <w:tcW w:w="1660" w:type="dxa"/>
            <w:tcBorders>
              <w:top w:val="nil"/>
              <w:left w:val="nil"/>
              <w:bottom w:val="single" w:sz="8" w:space="0" w:color="auto"/>
              <w:right w:val="single" w:sz="8" w:space="0" w:color="auto"/>
            </w:tcBorders>
            <w:shd w:val="clear" w:color="000000" w:fill="A6A6A6"/>
            <w:noWrap/>
            <w:vAlign w:val="center"/>
            <w:hideMark/>
          </w:tcPr>
          <w:p w:rsidR="00B50219" w:rsidRPr="0098062C" w:rsidRDefault="00B50219" w:rsidP="00B6079F">
            <w:pPr>
              <w:jc w:val="center"/>
              <w:rPr>
                <w:rFonts w:ascii="Calibri" w:hAnsi="Calibri"/>
                <w:b/>
                <w:bCs/>
                <w:color w:val="000000"/>
                <w:sz w:val="16"/>
                <w:szCs w:val="16"/>
              </w:rPr>
            </w:pPr>
            <w:r>
              <w:rPr>
                <w:rFonts w:ascii="Calibri" w:hAnsi="Calibri"/>
                <w:b/>
                <w:bCs/>
                <w:color w:val="000000"/>
                <w:sz w:val="16"/>
                <w:szCs w:val="16"/>
              </w:rPr>
              <w:t>217</w:t>
            </w:r>
            <w:r w:rsidRPr="0098062C">
              <w:rPr>
                <w:rFonts w:ascii="Calibri" w:hAnsi="Calibri"/>
                <w:b/>
                <w:bCs/>
                <w:color w:val="000000"/>
                <w:sz w:val="16"/>
                <w:szCs w:val="16"/>
              </w:rPr>
              <w:t>,00%</w:t>
            </w:r>
          </w:p>
        </w:tc>
      </w:tr>
    </w:tbl>
    <w:p w:rsidR="00B50219" w:rsidRPr="001A464C" w:rsidRDefault="00B50219" w:rsidP="00B50219">
      <w:pPr>
        <w:spacing w:beforeLines="120" w:before="288"/>
        <w:jc w:val="center"/>
        <w:rPr>
          <w:rFonts w:asciiTheme="majorHAnsi" w:eastAsiaTheme="majorEastAsia" w:hAnsiTheme="majorHAnsi" w:cstheme="majorBidi"/>
          <w:b/>
          <w:sz w:val="20"/>
          <w:szCs w:val="20"/>
        </w:rPr>
      </w:pPr>
    </w:p>
    <w:p w:rsidR="00B50219" w:rsidRDefault="00B50219" w:rsidP="00B50219">
      <w:pPr>
        <w:spacing w:beforeLines="120" w:before="288"/>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 xml:space="preserve">O </w:t>
      </w:r>
      <w:r w:rsidRPr="0098062C">
        <w:rPr>
          <w:rFonts w:asciiTheme="majorHAnsi" w:hAnsiTheme="majorHAnsi"/>
          <w:bCs/>
          <w:color w:val="7F7F7F" w:themeColor="text1" w:themeTint="80"/>
          <w:sz w:val="20"/>
          <w:szCs w:val="20"/>
        </w:rPr>
        <w:t xml:space="preserve">INSTITUTO DE PREVIDÊNCIA MUNICIPAL DE LAVRAS </w:t>
      </w:r>
      <w:r w:rsidRPr="001A464C">
        <w:rPr>
          <w:rFonts w:asciiTheme="majorHAnsi" w:hAnsiTheme="majorHAnsi"/>
          <w:bCs/>
          <w:color w:val="7F7F7F" w:themeColor="text1" w:themeTint="80"/>
          <w:sz w:val="20"/>
          <w:szCs w:val="20"/>
        </w:rPr>
        <w:t>considera os limites apresentados o resultado da análise feita através das reservas técnicas atuariais (ativos) e as reservas matemáticas (passivo) projetadas pelo cálculo atuarial o que pode exigir maior flexibilidade nos níveis de liquidez da carteira.</w:t>
      </w:r>
    </w:p>
    <w:p w:rsidR="00B50219" w:rsidRPr="00C7281C" w:rsidRDefault="00B50219" w:rsidP="00B50219">
      <w:pPr>
        <w:pStyle w:val="Ttulo2"/>
        <w:numPr>
          <w:ilvl w:val="1"/>
          <w:numId w:val="15"/>
        </w:numPr>
        <w:spacing w:beforeLines="120" w:before="288" w:after="0" w:line="240" w:lineRule="auto"/>
        <w:ind w:left="0" w:firstLine="0"/>
        <w:jc w:val="both"/>
        <w:rPr>
          <w:szCs w:val="20"/>
        </w:rPr>
      </w:pPr>
      <w:bookmarkStart w:id="12" w:name="_Toc435202742"/>
      <w:bookmarkStart w:id="13" w:name="_Toc465935134"/>
      <w:r w:rsidRPr="00C7281C">
        <w:rPr>
          <w:szCs w:val="20"/>
        </w:rPr>
        <w:t>SEGMENTO DE RENDA FIXA</w:t>
      </w:r>
      <w:bookmarkEnd w:id="12"/>
      <w:bookmarkEnd w:id="13"/>
    </w:p>
    <w:p w:rsidR="00B50219" w:rsidRPr="001A464C" w:rsidRDefault="00B50219" w:rsidP="00B50219">
      <w:pPr>
        <w:spacing w:beforeLines="120" w:before="288"/>
        <w:jc w:val="both"/>
        <w:rPr>
          <w:rFonts w:asciiTheme="majorHAnsi" w:hAnsiTheme="majorHAnsi"/>
          <w:b/>
          <w:bCs/>
          <w:color w:val="7F7F7F" w:themeColor="text1" w:themeTint="80"/>
          <w:sz w:val="20"/>
          <w:szCs w:val="20"/>
        </w:rPr>
      </w:pPr>
      <w:r w:rsidRPr="001A464C">
        <w:rPr>
          <w:rFonts w:asciiTheme="majorHAnsi" w:hAnsiTheme="majorHAnsi"/>
          <w:bCs/>
          <w:color w:val="7F7F7F" w:themeColor="text1" w:themeTint="80"/>
          <w:sz w:val="20"/>
          <w:szCs w:val="20"/>
        </w:rPr>
        <w:t xml:space="preserve">Obedecendo-se os limites permitidos pela Resolução CMN n° 3922/2010, propõe-se adotar o, </w:t>
      </w:r>
      <w:r w:rsidRPr="001A464C">
        <w:rPr>
          <w:rFonts w:asciiTheme="majorHAnsi" w:hAnsiTheme="majorHAnsi"/>
          <w:b/>
          <w:bCs/>
          <w:color w:val="7F7F7F" w:themeColor="text1" w:themeTint="80"/>
          <w:sz w:val="20"/>
          <w:szCs w:val="20"/>
        </w:rPr>
        <w:t>limite de no máximo 89% (oitenta e nove por cento) dos investimentos financeiros do RPPS, no segmento de renda fixa.</w:t>
      </w:r>
    </w:p>
    <w:p w:rsidR="00B50219" w:rsidRPr="001A464C" w:rsidRDefault="00B50219" w:rsidP="00B50219">
      <w:pPr>
        <w:spacing w:beforeLines="120" w:before="288"/>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A negociação de títulos e valores mobiliários no mercado secundário (compra/venda de títulos públicos) obedecerá ao disposto, Art. 7º, inciso “a” da Resolução CMN n° 3.922/2010, e deverão ser comercializados através de plataforma eletrônica e registrados no Sistema Especial de Liquidação e de Custódia (SELIC), não sendo permitidas compras de títulos com pagamento de Cupom com taxa inferior à Meta Atuarial.</w:t>
      </w:r>
    </w:p>
    <w:p w:rsidR="00B50219" w:rsidRPr="00C7281C" w:rsidRDefault="00B50219" w:rsidP="00B50219">
      <w:pPr>
        <w:pStyle w:val="Ttulo2"/>
        <w:numPr>
          <w:ilvl w:val="1"/>
          <w:numId w:val="15"/>
        </w:numPr>
        <w:spacing w:beforeLines="120" w:before="288" w:after="0" w:line="240" w:lineRule="auto"/>
        <w:ind w:left="0" w:firstLine="0"/>
        <w:jc w:val="both"/>
        <w:rPr>
          <w:szCs w:val="20"/>
        </w:rPr>
      </w:pPr>
      <w:bookmarkStart w:id="14" w:name="_Toc435202743"/>
      <w:bookmarkStart w:id="15" w:name="_Toc465935135"/>
      <w:r w:rsidRPr="00C7281C">
        <w:rPr>
          <w:szCs w:val="20"/>
        </w:rPr>
        <w:lastRenderedPageBreak/>
        <w:t>SEGMENTO DE RENDA VARIÁVEL</w:t>
      </w:r>
      <w:bookmarkEnd w:id="14"/>
      <w:bookmarkEnd w:id="15"/>
    </w:p>
    <w:p w:rsidR="00B50219" w:rsidRPr="001A464C" w:rsidRDefault="00B50219" w:rsidP="00B50219">
      <w:pPr>
        <w:spacing w:beforeLines="120" w:before="288"/>
        <w:jc w:val="both"/>
        <w:rPr>
          <w:rFonts w:asciiTheme="majorHAnsi" w:hAnsiTheme="majorHAnsi"/>
          <w:b/>
          <w:bCs/>
          <w:color w:val="7F7F7F" w:themeColor="text1" w:themeTint="80"/>
          <w:sz w:val="20"/>
          <w:szCs w:val="20"/>
        </w:rPr>
      </w:pPr>
      <w:r w:rsidRPr="001A464C">
        <w:rPr>
          <w:rFonts w:asciiTheme="majorHAnsi" w:hAnsiTheme="majorHAnsi"/>
          <w:bCs/>
          <w:color w:val="7F7F7F" w:themeColor="text1" w:themeTint="80"/>
          <w:sz w:val="20"/>
          <w:szCs w:val="20"/>
        </w:rPr>
        <w:t xml:space="preserve">Em relação ao segmento de renda variável, cuja limitação legal estabelece que os recursos alocados nos investimentos, cumulativamente, não deverão exceder a 30% (trinta por cento) da totalidade dos recursos em moeda corrente do RPPS, </w:t>
      </w:r>
      <w:r w:rsidRPr="001A464C">
        <w:rPr>
          <w:rFonts w:asciiTheme="majorHAnsi" w:hAnsiTheme="majorHAnsi"/>
          <w:b/>
          <w:bCs/>
          <w:color w:val="7F7F7F" w:themeColor="text1" w:themeTint="80"/>
          <w:sz w:val="20"/>
          <w:szCs w:val="20"/>
        </w:rPr>
        <w:t>limitar-se-ão a</w:t>
      </w:r>
      <w:r w:rsidRPr="001A464C">
        <w:rPr>
          <w:rFonts w:asciiTheme="majorHAnsi" w:hAnsiTheme="majorHAnsi"/>
          <w:bCs/>
          <w:color w:val="7F7F7F" w:themeColor="text1" w:themeTint="80"/>
          <w:sz w:val="20"/>
          <w:szCs w:val="20"/>
        </w:rPr>
        <w:t xml:space="preserve"> </w:t>
      </w:r>
      <w:r w:rsidRPr="001A464C">
        <w:rPr>
          <w:rFonts w:asciiTheme="majorHAnsi" w:hAnsiTheme="majorHAnsi"/>
          <w:b/>
          <w:bCs/>
          <w:color w:val="7F7F7F" w:themeColor="text1" w:themeTint="80"/>
          <w:sz w:val="20"/>
          <w:szCs w:val="20"/>
        </w:rPr>
        <w:t>30% (trinte por cento) da totalidade dos investimentos financeiros do RPPS.</w:t>
      </w:r>
    </w:p>
    <w:p w:rsidR="00B50219" w:rsidRPr="00C7281C" w:rsidRDefault="00B50219" w:rsidP="00B50219">
      <w:pPr>
        <w:pStyle w:val="Ttulo2"/>
        <w:numPr>
          <w:ilvl w:val="1"/>
          <w:numId w:val="15"/>
        </w:numPr>
        <w:spacing w:beforeLines="120" w:before="288" w:after="0" w:line="240" w:lineRule="auto"/>
        <w:ind w:left="0" w:firstLine="0"/>
        <w:jc w:val="both"/>
        <w:rPr>
          <w:szCs w:val="20"/>
        </w:rPr>
      </w:pPr>
      <w:bookmarkStart w:id="16" w:name="_Toc435202744"/>
      <w:bookmarkStart w:id="17" w:name="_Toc465935136"/>
      <w:r w:rsidRPr="00C7281C">
        <w:rPr>
          <w:szCs w:val="20"/>
        </w:rPr>
        <w:t>SEGMENTO DE IMÓVEIS</w:t>
      </w:r>
      <w:bookmarkEnd w:id="16"/>
      <w:bookmarkEnd w:id="17"/>
    </w:p>
    <w:p w:rsidR="00B50219" w:rsidRPr="001A464C" w:rsidRDefault="00B50219" w:rsidP="00B50219">
      <w:pPr>
        <w:spacing w:beforeLines="120" w:before="288"/>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Conforme o artigo 9º da Resolução CMN nº 3.922/2010, as alocações no segmento de imóveis serão efetuadas, exclusivamente, com os terrenos ou outros imóveis vinculados por lei ao RPPS.</w:t>
      </w:r>
    </w:p>
    <w:p w:rsidR="00B50219" w:rsidRPr="001A464C" w:rsidRDefault="00B50219" w:rsidP="00B50219">
      <w:pPr>
        <w:spacing w:beforeLines="120" w:before="288"/>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 xml:space="preserve">Os imóveis repassados pelo Município deverão estar devidamente registrados em Cartório de Registro de Imóveis, livres de quaisquer ônus ou gravame, e possuir as certidões negativas de tributos, em especial o Imposto Predial e Territorial Urbano – IPTU ou o Imposto sobre a Propriedade Territorial Rural – ITR. </w:t>
      </w:r>
    </w:p>
    <w:p w:rsidR="00B50219" w:rsidRPr="001A464C" w:rsidRDefault="00B50219" w:rsidP="00B50219">
      <w:pPr>
        <w:spacing w:beforeLines="120" w:before="288"/>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Os imóveis poderão ser utilizados para a aquisição e/ou integralização de Cotas de Fundos de Investimento Imobiliário, cujas cotas sejam negociadas em ambiente de bolsa de valores, com exceção dos mercados de balcão organizados e não organizados. Deverá ser observado também critérios de Rentabilidade, Liquidez e Segurança.</w:t>
      </w:r>
    </w:p>
    <w:p w:rsidR="00B50219" w:rsidRPr="001A464C" w:rsidRDefault="00B50219" w:rsidP="00B50219">
      <w:pPr>
        <w:spacing w:beforeLines="120" w:before="288"/>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Seguindo as especificações contidas no Manual de Contabilidade Aplicada ao Setor Público, no item 7, 7.1, há necessidade das reavaliações devido a fatores que podem fazer com que o valor contábil do ativo não corresponda ao seu valor justo. A frequência com que as reavaliações são realizadas depende das mudanças dos valores justos dos itens do ativo que serão reavaliados.</w:t>
      </w:r>
    </w:p>
    <w:p w:rsidR="00B50219" w:rsidRPr="00C7281C" w:rsidRDefault="00B50219" w:rsidP="00B50219">
      <w:pPr>
        <w:pStyle w:val="Ttulo2"/>
        <w:numPr>
          <w:ilvl w:val="1"/>
          <w:numId w:val="15"/>
        </w:numPr>
        <w:spacing w:beforeLines="120" w:before="288" w:after="0" w:line="240" w:lineRule="auto"/>
        <w:ind w:left="0" w:firstLine="0"/>
        <w:jc w:val="both"/>
        <w:rPr>
          <w:szCs w:val="20"/>
        </w:rPr>
      </w:pPr>
      <w:bookmarkStart w:id="18" w:name="_Toc465935137"/>
      <w:r w:rsidRPr="00C7281C">
        <w:rPr>
          <w:szCs w:val="20"/>
        </w:rPr>
        <w:t>ENQUADRAMENTO</w:t>
      </w:r>
      <w:bookmarkEnd w:id="18"/>
    </w:p>
    <w:p w:rsidR="00B50219" w:rsidRPr="001A464C" w:rsidRDefault="00B50219" w:rsidP="00B50219">
      <w:pPr>
        <w:spacing w:beforeLines="120" w:before="288"/>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 xml:space="preserve">O </w:t>
      </w:r>
      <w:r w:rsidRPr="0098062C">
        <w:rPr>
          <w:rFonts w:asciiTheme="majorHAnsi" w:hAnsiTheme="majorHAnsi"/>
          <w:bCs/>
          <w:color w:val="7F7F7F" w:themeColor="text1" w:themeTint="80"/>
          <w:sz w:val="20"/>
          <w:szCs w:val="20"/>
        </w:rPr>
        <w:t xml:space="preserve">INSTITUTO DE PREVIDÊNCIA MUNICIPAL DE LAVRAS </w:t>
      </w:r>
      <w:r w:rsidRPr="001A464C">
        <w:rPr>
          <w:rFonts w:asciiTheme="majorHAnsi" w:hAnsiTheme="majorHAnsi"/>
          <w:bCs/>
          <w:color w:val="7F7F7F" w:themeColor="text1" w:themeTint="80"/>
          <w:sz w:val="20"/>
          <w:szCs w:val="20"/>
        </w:rPr>
        <w:t>considera os limites estipulados de enquadramento na Resolução CMN n° 3.922/2010, e como entendimento complementar ao Artigo 22, destacamos:</w:t>
      </w:r>
    </w:p>
    <w:p w:rsidR="00B50219" w:rsidRDefault="00B50219" w:rsidP="00B50219">
      <w:pPr>
        <w:spacing w:beforeLines="120" w:before="288"/>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 xml:space="preserve">Serão entendidos como </w:t>
      </w:r>
      <w:proofErr w:type="spellStart"/>
      <w:r w:rsidRPr="001A464C">
        <w:rPr>
          <w:rFonts w:asciiTheme="majorHAnsi" w:hAnsiTheme="majorHAnsi"/>
          <w:bCs/>
          <w:color w:val="7F7F7F" w:themeColor="text1" w:themeTint="80"/>
          <w:sz w:val="20"/>
          <w:szCs w:val="20"/>
        </w:rPr>
        <w:t>desenquadramento</w:t>
      </w:r>
      <w:proofErr w:type="spellEnd"/>
      <w:r w:rsidRPr="001A464C">
        <w:rPr>
          <w:rFonts w:asciiTheme="majorHAnsi" w:hAnsiTheme="majorHAnsi"/>
          <w:bCs/>
          <w:color w:val="7F7F7F" w:themeColor="text1" w:themeTint="80"/>
          <w:sz w:val="20"/>
          <w:szCs w:val="20"/>
        </w:rPr>
        <w:t xml:space="preserve"> passivo, os limites excedidos decorrentes de valorização e desvalorizaç</w:t>
      </w:r>
      <w:r>
        <w:rPr>
          <w:rFonts w:asciiTheme="majorHAnsi" w:hAnsiTheme="majorHAnsi"/>
          <w:bCs/>
          <w:color w:val="7F7F7F" w:themeColor="text1" w:themeTint="80"/>
          <w:sz w:val="20"/>
          <w:szCs w:val="20"/>
        </w:rPr>
        <w:t xml:space="preserve">ão dos ativos ou qualquer tipo de </w:t>
      </w:r>
      <w:proofErr w:type="spellStart"/>
      <w:r>
        <w:rPr>
          <w:rFonts w:asciiTheme="majorHAnsi" w:hAnsiTheme="majorHAnsi"/>
          <w:bCs/>
          <w:color w:val="7F7F7F" w:themeColor="text1" w:themeTint="80"/>
          <w:sz w:val="20"/>
          <w:szCs w:val="20"/>
        </w:rPr>
        <w:t>desenquadramento</w:t>
      </w:r>
      <w:proofErr w:type="spellEnd"/>
      <w:r>
        <w:rPr>
          <w:rFonts w:asciiTheme="majorHAnsi" w:hAnsiTheme="majorHAnsi"/>
          <w:bCs/>
          <w:color w:val="7F7F7F" w:themeColor="text1" w:themeTint="80"/>
          <w:sz w:val="20"/>
          <w:szCs w:val="20"/>
        </w:rPr>
        <w:t xml:space="preserve"> que não tenha sido resultado de ação direta do RPPS.</w:t>
      </w:r>
    </w:p>
    <w:p w:rsidR="00B50219" w:rsidRPr="00C7281C" w:rsidRDefault="00B50219" w:rsidP="00B50219">
      <w:pPr>
        <w:pStyle w:val="Ttulo2"/>
        <w:numPr>
          <w:ilvl w:val="1"/>
          <w:numId w:val="15"/>
        </w:numPr>
        <w:spacing w:beforeLines="120" w:before="288" w:after="0" w:line="240" w:lineRule="auto"/>
        <w:ind w:left="0" w:firstLine="0"/>
        <w:jc w:val="both"/>
        <w:rPr>
          <w:szCs w:val="20"/>
        </w:rPr>
      </w:pPr>
      <w:bookmarkStart w:id="19" w:name="_Toc435202745"/>
      <w:bookmarkStart w:id="20" w:name="_Toc465935138"/>
      <w:r w:rsidRPr="00C7281C">
        <w:rPr>
          <w:szCs w:val="20"/>
        </w:rPr>
        <w:t>VEDAÇÕES</w:t>
      </w:r>
      <w:bookmarkEnd w:id="19"/>
      <w:bookmarkEnd w:id="20"/>
    </w:p>
    <w:p w:rsidR="00B50219" w:rsidRPr="001A464C" w:rsidRDefault="00B50219" w:rsidP="00B50219">
      <w:pPr>
        <w:spacing w:beforeLines="120" w:before="288"/>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 xml:space="preserve">O Comitê de Investimento do O </w:t>
      </w:r>
      <w:r w:rsidRPr="0098062C">
        <w:rPr>
          <w:rFonts w:asciiTheme="majorHAnsi" w:hAnsiTheme="majorHAnsi"/>
          <w:bCs/>
          <w:color w:val="7F7F7F" w:themeColor="text1" w:themeTint="80"/>
          <w:sz w:val="20"/>
          <w:szCs w:val="20"/>
        </w:rPr>
        <w:t>INSTITUTO DE PREVIDÊNCIA MUNICIPAL DE LAVRAS</w:t>
      </w:r>
      <w:r w:rsidRPr="001A464C">
        <w:rPr>
          <w:rFonts w:asciiTheme="majorHAnsi" w:hAnsiTheme="majorHAnsi"/>
          <w:bCs/>
          <w:color w:val="7F7F7F" w:themeColor="text1" w:themeTint="80"/>
          <w:sz w:val="20"/>
          <w:szCs w:val="20"/>
        </w:rPr>
        <w:t xml:space="preserve"> deverá seguir as vedações estabelecidas pela Resolução CMN n° 3.922/2010, ficando adicionalmente vedada a aquisição de:</w:t>
      </w:r>
    </w:p>
    <w:p w:rsidR="00B50219" w:rsidRPr="001A464C" w:rsidRDefault="00B50219" w:rsidP="00B50219">
      <w:pPr>
        <w:numPr>
          <w:ilvl w:val="0"/>
          <w:numId w:val="16"/>
        </w:numPr>
        <w:spacing w:beforeLines="120" w:before="288"/>
        <w:ind w:left="0" w:firstLine="0"/>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Operações</w:t>
      </w:r>
      <w:r>
        <w:rPr>
          <w:rFonts w:asciiTheme="majorHAnsi" w:hAnsiTheme="majorHAnsi"/>
          <w:bCs/>
          <w:color w:val="7F7F7F" w:themeColor="text1" w:themeTint="80"/>
          <w:sz w:val="20"/>
          <w:szCs w:val="20"/>
        </w:rPr>
        <w:t xml:space="preserve"> compromissadas</w:t>
      </w:r>
      <w:r w:rsidRPr="001A464C">
        <w:rPr>
          <w:rFonts w:asciiTheme="majorHAnsi" w:hAnsiTheme="majorHAnsi"/>
          <w:bCs/>
          <w:color w:val="7F7F7F" w:themeColor="text1" w:themeTint="80"/>
          <w:sz w:val="20"/>
          <w:szCs w:val="20"/>
        </w:rPr>
        <w:t>;</w:t>
      </w:r>
    </w:p>
    <w:p w:rsidR="00B50219" w:rsidRPr="001A464C" w:rsidRDefault="00B50219" w:rsidP="00B50219">
      <w:pPr>
        <w:numPr>
          <w:ilvl w:val="0"/>
          <w:numId w:val="16"/>
        </w:numPr>
        <w:spacing w:beforeLines="120" w:before="288"/>
        <w:ind w:left="0" w:firstLine="0"/>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Aquisição de qualquer ativo final, emitido por Instituições Financeiras com alto risco de crédito;</w:t>
      </w:r>
    </w:p>
    <w:p w:rsidR="00B50219" w:rsidRPr="001A464C" w:rsidRDefault="00B50219" w:rsidP="00B50219">
      <w:pPr>
        <w:numPr>
          <w:ilvl w:val="0"/>
          <w:numId w:val="16"/>
        </w:numPr>
        <w:spacing w:beforeLines="120" w:before="288"/>
        <w:ind w:left="0" w:firstLine="0"/>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lastRenderedPageBreak/>
        <w:t>Cotas de Fundos de Investimentos em Direitos Creditórios, constituídos sob forma de condomínio aberto ou fechado que não possuam segregação de funções na prestação de serviços, sendo ao menos, obrigatoriamente, duas pessoas jurídicas diferentes, de suas controladoras, de entidades por elas direta ou indiretamente controladas ou quais outras sociedades sob controle comum;</w:t>
      </w:r>
    </w:p>
    <w:p w:rsidR="00B50219" w:rsidRPr="001A464C" w:rsidRDefault="00B50219" w:rsidP="00B50219">
      <w:pPr>
        <w:numPr>
          <w:ilvl w:val="0"/>
          <w:numId w:val="16"/>
        </w:numPr>
        <w:spacing w:beforeLines="120" w:before="288"/>
        <w:ind w:left="0" w:firstLine="0"/>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Cotas de Fundos Multimercados cujos regulamentos não determinem que os ativos de créditos que compõem suas carteiras sejam considerados como de baixo risco de crédito por, no mínimo, uma das agências classificadoras de risco citadas no item 7.2 - Controle do Risco de Crédito da presente Política de Investimentos;</w:t>
      </w:r>
    </w:p>
    <w:p w:rsidR="00B50219" w:rsidRPr="001A464C" w:rsidRDefault="00B50219" w:rsidP="00B50219">
      <w:pPr>
        <w:numPr>
          <w:ilvl w:val="0"/>
          <w:numId w:val="16"/>
        </w:numPr>
        <w:spacing w:beforeLines="120" w:before="288"/>
        <w:ind w:left="0" w:firstLine="0"/>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Cotas de Fundos Multimercados cuja denominação contenha a expressão “crédito privado”;</w:t>
      </w:r>
    </w:p>
    <w:p w:rsidR="00B50219" w:rsidRPr="001A464C" w:rsidRDefault="00B50219" w:rsidP="00B50219">
      <w:pPr>
        <w:numPr>
          <w:ilvl w:val="0"/>
          <w:numId w:val="16"/>
        </w:numPr>
        <w:spacing w:beforeLines="120" w:before="288"/>
        <w:ind w:left="0" w:firstLine="0"/>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Cotas de Fundos em Participações (FIP) que não prevejam em seu regulamento a constituição de um Comitê de Acompanhamento que se reúna, no mínimo, trimestralmente e que faça a lavratura de atas, com vistas a monitorar o desempenho dos gestores e das empresas investidas;</w:t>
      </w:r>
    </w:p>
    <w:p w:rsidR="00B50219" w:rsidRPr="001A464C" w:rsidRDefault="00B50219" w:rsidP="00B50219">
      <w:pPr>
        <w:numPr>
          <w:ilvl w:val="0"/>
          <w:numId w:val="16"/>
        </w:numPr>
        <w:spacing w:beforeLines="120" w:before="288"/>
        <w:ind w:left="0" w:firstLine="0"/>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Cotas de Fundos de Investimentos Imobiliários (FII) que não prevejam em seu regulamento a constituição de um Comitê de Acompanhamento que se reúna, no mínimo, trimestralmente, e que faça a lavratura de atas, com vistas a monitorar o desempenho dos gestores e das empresas investidas.</w:t>
      </w:r>
    </w:p>
    <w:p w:rsidR="00B50219" w:rsidRPr="00F52A76" w:rsidRDefault="00B50219" w:rsidP="00B50219">
      <w:pPr>
        <w:numPr>
          <w:ilvl w:val="0"/>
          <w:numId w:val="16"/>
        </w:numPr>
        <w:spacing w:beforeLines="120" w:before="288"/>
        <w:ind w:left="0" w:firstLine="0"/>
        <w:jc w:val="both"/>
        <w:rPr>
          <w:rFonts w:asciiTheme="majorHAnsi" w:hAnsiTheme="majorHAnsi"/>
          <w:bCs/>
          <w:color w:val="7F7F7F" w:themeColor="text1" w:themeTint="80"/>
          <w:sz w:val="20"/>
          <w:szCs w:val="20"/>
        </w:rPr>
      </w:pPr>
      <w:r>
        <w:rPr>
          <w:rFonts w:asciiTheme="majorHAnsi" w:hAnsiTheme="majorHAnsi"/>
          <w:bCs/>
          <w:color w:val="7F7F7F" w:themeColor="text1" w:themeTint="80"/>
          <w:sz w:val="20"/>
          <w:szCs w:val="20"/>
        </w:rPr>
        <w:t>A</w:t>
      </w:r>
      <w:r w:rsidRPr="00F52A76">
        <w:rPr>
          <w:rFonts w:asciiTheme="majorHAnsi" w:hAnsiTheme="majorHAnsi"/>
          <w:bCs/>
          <w:color w:val="7F7F7F" w:themeColor="text1" w:themeTint="80"/>
          <w:sz w:val="20"/>
          <w:szCs w:val="20"/>
        </w:rPr>
        <w:t xml:space="preserve"> classificação e enquadramento das cotas de fundos de investimento não podem ser descaracterizados pelos ativos finais investidos devendo haver correspondência com a política de investimentos do fundo.</w:t>
      </w:r>
    </w:p>
    <w:p w:rsidR="00B50219" w:rsidRPr="001A464C" w:rsidRDefault="00B50219" w:rsidP="00B50219">
      <w:pPr>
        <w:spacing w:beforeLines="120" w:before="288"/>
        <w:jc w:val="both"/>
        <w:rPr>
          <w:rFonts w:asciiTheme="majorHAnsi" w:hAnsiTheme="majorHAnsi"/>
          <w:sz w:val="20"/>
          <w:szCs w:val="20"/>
        </w:rPr>
      </w:pPr>
    </w:p>
    <w:p w:rsidR="00B50219" w:rsidRPr="00C7281C" w:rsidRDefault="00B50219" w:rsidP="00B50219">
      <w:pPr>
        <w:keepNext/>
        <w:keepLines/>
        <w:numPr>
          <w:ilvl w:val="0"/>
          <w:numId w:val="15"/>
        </w:numPr>
        <w:spacing w:beforeLines="120" w:before="288"/>
        <w:ind w:left="0" w:firstLine="0"/>
        <w:jc w:val="both"/>
        <w:rPr>
          <w:rFonts w:asciiTheme="majorHAnsi" w:eastAsiaTheme="majorEastAsia" w:hAnsiTheme="majorHAnsi" w:cstheme="majorBidi"/>
          <w:b/>
          <w:color w:val="ED7D31"/>
          <w:sz w:val="20"/>
          <w:szCs w:val="20"/>
          <w:u w:val="single"/>
        </w:rPr>
      </w:pPr>
      <w:bookmarkStart w:id="21" w:name="_Toc435202746"/>
      <w:r w:rsidRPr="00C7281C">
        <w:rPr>
          <w:rFonts w:asciiTheme="majorHAnsi" w:eastAsiaTheme="majorEastAsia" w:hAnsiTheme="majorHAnsi" w:cstheme="majorBidi"/>
          <w:b/>
          <w:color w:val="ED7D31"/>
          <w:sz w:val="20"/>
          <w:szCs w:val="20"/>
          <w:u w:val="single"/>
        </w:rPr>
        <w:t>META ATUARIAL</w:t>
      </w:r>
      <w:bookmarkEnd w:id="21"/>
    </w:p>
    <w:p w:rsidR="00B50219" w:rsidRPr="001A464C" w:rsidRDefault="00B50219" w:rsidP="00B50219">
      <w:pPr>
        <w:spacing w:beforeLines="120" w:before="288"/>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A Portaria MPS nº 87, de 02 de fevereiro de 2005, publicada no DOU de 03/02/2005, que estabelece as Normas Gerais de Atuária dos Regimes Próprios de Previdência Social, determina que a taxa real de juros a ser utilizada nas Avaliações Atuariais será de, no máximo, 6,00% (seis por cento) ao ano.</w:t>
      </w:r>
    </w:p>
    <w:p w:rsidR="00B50219" w:rsidRPr="001A464C" w:rsidRDefault="00B50219" w:rsidP="00B50219">
      <w:pPr>
        <w:spacing w:beforeLines="120" w:before="288"/>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Também chamada de meta atuarial, é a taxa de desconto utilizada no cálculo atuarial para trazer a valor presente, todos os compromissos do plano de benefícios para com seus beneficiários na linha do tempo, determinando assim o quanto de patrimônio o Regime Próprio de Previdência Social deverá possuir hoje para manter o equilíbrio atuarial.</w:t>
      </w:r>
    </w:p>
    <w:p w:rsidR="00B50219" w:rsidRPr="001A464C" w:rsidRDefault="00B50219" w:rsidP="00B50219">
      <w:pPr>
        <w:spacing w:beforeLines="120" w:before="288"/>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Obviamente, esse equilíbrio somente será possível de se obter caso os investimentos sejam remunerados, no mínimo, por essa mesma taxa. Do contrário, ou seja, se a taxa que remunera os investimentos passe a ser inferior a taxa utilizada no cálculo atuarial, o plano de benefícios se tornará insolvente, comprometendo o pagamento das aposentadorias e pensões em algum momento no futuro.</w:t>
      </w:r>
    </w:p>
    <w:p w:rsidR="00B50219" w:rsidRPr="001A464C" w:rsidRDefault="00B50219" w:rsidP="00B50219">
      <w:pPr>
        <w:spacing w:beforeLines="120" w:before="288"/>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Considerando a distribuição dos recursos conforme a estratégia alvo utilizada nesta Política de Investimentos, as projeções indicam que a rentabilidade real estimada para o conjunto dos investimentos ao final do ano de 2017 será de </w:t>
      </w:r>
      <w:r w:rsidRPr="00860284">
        <w:rPr>
          <w:rFonts w:asciiTheme="majorHAnsi" w:hAnsiTheme="majorHAnsi"/>
          <w:b/>
          <w:bCs/>
          <w:color w:val="7F7F7F" w:themeColor="text1" w:themeTint="80"/>
          <w:sz w:val="20"/>
          <w:szCs w:val="20"/>
        </w:rPr>
        <w:t>6,00% (seis por cento)</w:t>
      </w:r>
      <w:r>
        <w:rPr>
          <w:rFonts w:asciiTheme="majorHAnsi" w:hAnsiTheme="majorHAnsi"/>
          <w:bCs/>
          <w:color w:val="7F7F7F" w:themeColor="text1" w:themeTint="80"/>
          <w:sz w:val="20"/>
          <w:szCs w:val="20"/>
        </w:rPr>
        <w:t xml:space="preserve">, somado a inflação do </w:t>
      </w:r>
      <w:r w:rsidRPr="00860284">
        <w:rPr>
          <w:rFonts w:asciiTheme="majorHAnsi" w:hAnsiTheme="majorHAnsi"/>
          <w:b/>
          <w:bCs/>
          <w:color w:val="7F7F7F" w:themeColor="text1" w:themeTint="80"/>
          <w:sz w:val="20"/>
          <w:szCs w:val="20"/>
        </w:rPr>
        <w:t>IPCA – Índice Nacional de Preços ao Consumidor Amplo</w:t>
      </w:r>
      <w:r w:rsidRPr="001A464C">
        <w:rPr>
          <w:rFonts w:asciiTheme="majorHAnsi" w:hAnsiTheme="majorHAnsi"/>
          <w:bCs/>
          <w:color w:val="7F7F7F" w:themeColor="text1" w:themeTint="80"/>
          <w:sz w:val="20"/>
          <w:szCs w:val="20"/>
        </w:rPr>
        <w:t>, ou seja, superior à taxa de juros máxima admitida pela norma legal.</w:t>
      </w:r>
    </w:p>
    <w:p w:rsidR="00B50219" w:rsidRPr="001A464C" w:rsidRDefault="00B50219" w:rsidP="00B50219">
      <w:pPr>
        <w:spacing w:beforeLines="120" w:before="288"/>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lastRenderedPageBreak/>
        <w:t>Ainda assim, o </w:t>
      </w:r>
      <w:r w:rsidRPr="0098062C">
        <w:rPr>
          <w:rFonts w:asciiTheme="majorHAnsi" w:hAnsiTheme="majorHAnsi"/>
          <w:bCs/>
          <w:color w:val="7F7F7F" w:themeColor="text1" w:themeTint="80"/>
          <w:sz w:val="20"/>
          <w:szCs w:val="20"/>
        </w:rPr>
        <w:t xml:space="preserve">INSTITUTO DE PREVIDÊNCIA MUNICIPAL DE LAVRAS </w:t>
      </w:r>
      <w:r w:rsidRPr="001A464C">
        <w:rPr>
          <w:rFonts w:asciiTheme="majorHAnsi" w:hAnsiTheme="majorHAnsi"/>
          <w:bCs/>
          <w:color w:val="7F7F7F" w:themeColor="text1" w:themeTint="80"/>
          <w:sz w:val="20"/>
          <w:szCs w:val="20"/>
        </w:rPr>
        <w:t>avaliará a execução de estudos que evidenciem, no longo prazo, qual a real situação financeiro-atuarial do plano de benefícios previdenciários.</w:t>
      </w:r>
    </w:p>
    <w:p w:rsidR="00B50219" w:rsidRPr="001A464C" w:rsidRDefault="00B50219" w:rsidP="00B50219">
      <w:pPr>
        <w:spacing w:beforeLines="120" w:before="288"/>
        <w:jc w:val="both"/>
        <w:rPr>
          <w:rFonts w:asciiTheme="majorHAnsi" w:hAnsiTheme="majorHAnsi"/>
          <w:bCs/>
          <w:color w:val="7F7F7F" w:themeColor="text1" w:themeTint="80"/>
          <w:sz w:val="20"/>
          <w:szCs w:val="20"/>
        </w:rPr>
      </w:pPr>
    </w:p>
    <w:p w:rsidR="00B50219" w:rsidRPr="00C7281C" w:rsidRDefault="00B50219" w:rsidP="00B50219">
      <w:pPr>
        <w:keepNext/>
        <w:keepLines/>
        <w:numPr>
          <w:ilvl w:val="0"/>
          <w:numId w:val="15"/>
        </w:numPr>
        <w:spacing w:beforeLines="120" w:before="288"/>
        <w:ind w:left="0" w:firstLine="0"/>
        <w:jc w:val="both"/>
        <w:rPr>
          <w:rFonts w:asciiTheme="majorHAnsi" w:eastAsiaTheme="majorEastAsia" w:hAnsiTheme="majorHAnsi" w:cstheme="majorBidi"/>
          <w:b/>
          <w:color w:val="ED7D31"/>
          <w:sz w:val="20"/>
          <w:szCs w:val="20"/>
          <w:u w:val="single"/>
        </w:rPr>
      </w:pPr>
      <w:bookmarkStart w:id="22" w:name="_Toc435202747"/>
      <w:r w:rsidRPr="00C7281C">
        <w:rPr>
          <w:rFonts w:asciiTheme="majorHAnsi" w:eastAsiaTheme="majorEastAsia" w:hAnsiTheme="majorHAnsi" w:cstheme="majorBidi"/>
          <w:b/>
          <w:color w:val="ED7D31"/>
          <w:sz w:val="20"/>
          <w:szCs w:val="20"/>
          <w:u w:val="single"/>
        </w:rPr>
        <w:t>ESTRUTURA DE GESTÃO DOS ATIVOS</w:t>
      </w:r>
      <w:bookmarkEnd w:id="22"/>
    </w:p>
    <w:p w:rsidR="00B50219" w:rsidRPr="001A464C" w:rsidRDefault="00B50219" w:rsidP="00B50219">
      <w:pPr>
        <w:spacing w:beforeLines="120" w:before="288"/>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De acordo com as hipóteses previstas na Resolução CMN nº 3.922/2010, a aplicação dos ativos será realizada por gestão própria, terceirizada ou mista.</w:t>
      </w:r>
    </w:p>
    <w:p w:rsidR="00B50219" w:rsidRPr="001A464C" w:rsidRDefault="00B50219" w:rsidP="00B50219">
      <w:pPr>
        <w:spacing w:beforeLines="120" w:before="288"/>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 xml:space="preserve">Para a vigência desta Política de Investimentos, a gestão das aplicações dos recursos do </w:t>
      </w:r>
      <w:r w:rsidRPr="0098062C">
        <w:rPr>
          <w:rFonts w:asciiTheme="majorHAnsi" w:hAnsiTheme="majorHAnsi"/>
          <w:bCs/>
          <w:color w:val="7F7F7F" w:themeColor="text1" w:themeTint="80"/>
          <w:sz w:val="20"/>
          <w:szCs w:val="20"/>
        </w:rPr>
        <w:t>INSTITUTO DE PREVIDÊNCIA MUNICIPAL DE LAVRAS</w:t>
      </w:r>
      <w:r>
        <w:rPr>
          <w:rFonts w:asciiTheme="majorHAnsi" w:hAnsiTheme="majorHAnsi"/>
          <w:b/>
          <w:bCs/>
          <w:color w:val="FF0000"/>
          <w:sz w:val="20"/>
          <w:szCs w:val="20"/>
        </w:rPr>
        <w:t xml:space="preserve"> </w:t>
      </w:r>
      <w:r w:rsidRPr="001A464C">
        <w:rPr>
          <w:rFonts w:asciiTheme="majorHAnsi" w:hAnsiTheme="majorHAnsi"/>
          <w:bCs/>
          <w:color w:val="7F7F7F" w:themeColor="text1" w:themeTint="80"/>
          <w:sz w:val="20"/>
          <w:szCs w:val="20"/>
        </w:rPr>
        <w:t xml:space="preserve">será </w:t>
      </w:r>
      <w:r w:rsidRPr="001A464C">
        <w:rPr>
          <w:rFonts w:asciiTheme="majorHAnsi" w:hAnsiTheme="majorHAnsi"/>
          <w:b/>
          <w:bCs/>
          <w:color w:val="7F7F7F" w:themeColor="text1" w:themeTint="80"/>
          <w:sz w:val="20"/>
          <w:szCs w:val="20"/>
        </w:rPr>
        <w:t>própria</w:t>
      </w:r>
      <w:r w:rsidRPr="001A464C">
        <w:rPr>
          <w:rFonts w:asciiTheme="majorHAnsi" w:hAnsiTheme="majorHAnsi"/>
          <w:bCs/>
          <w:color w:val="7F7F7F" w:themeColor="text1" w:themeTint="80"/>
          <w:sz w:val="20"/>
          <w:szCs w:val="20"/>
        </w:rPr>
        <w:t>.</w:t>
      </w:r>
    </w:p>
    <w:p w:rsidR="00B50219" w:rsidRPr="00C7281C" w:rsidRDefault="00B50219" w:rsidP="00B50219">
      <w:pPr>
        <w:pStyle w:val="Ttulo2"/>
        <w:numPr>
          <w:ilvl w:val="1"/>
          <w:numId w:val="15"/>
        </w:numPr>
        <w:spacing w:beforeLines="120" w:before="288" w:after="0" w:line="240" w:lineRule="auto"/>
        <w:ind w:left="0" w:firstLine="0"/>
        <w:jc w:val="both"/>
        <w:rPr>
          <w:szCs w:val="20"/>
        </w:rPr>
      </w:pPr>
      <w:bookmarkStart w:id="23" w:name="_Toc435202748"/>
      <w:bookmarkStart w:id="24" w:name="_Toc465935139"/>
      <w:r w:rsidRPr="00C7281C">
        <w:rPr>
          <w:szCs w:val="20"/>
        </w:rPr>
        <w:t>GESTÃO PRÓPRIA</w:t>
      </w:r>
      <w:bookmarkEnd w:id="23"/>
      <w:bookmarkEnd w:id="24"/>
    </w:p>
    <w:p w:rsidR="00B50219" w:rsidRPr="001A464C" w:rsidRDefault="00B50219" w:rsidP="00B50219">
      <w:pPr>
        <w:spacing w:beforeLines="120" w:before="288"/>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A adoção deste modelo de gestão significa que o total dos recursos ficará sob a responsabilidade do RPPS, com profissionais qualificados e certificados por entidade de certificação reconhecida pelo Ministério da Previdência Social, conforme exigência da Portaria MPS nº 519, de 24 de agosto de 2011, e contará com Comitê de Investimentos como órgão participativo do processo decisório, com o objetivo de gerenciar a aplicação de recursos, escolhendo os ativos, delimitando os níveis de riscos, estabelecendo os prazos para as aplicações, sendo obrigatório o Credenciamento de administradores e gestores de fundos de investimentos junto ao RPPS.</w:t>
      </w:r>
    </w:p>
    <w:p w:rsidR="00B50219" w:rsidRPr="001A464C" w:rsidRDefault="00B50219" w:rsidP="00B50219">
      <w:pPr>
        <w:spacing w:beforeLines="120" w:before="288"/>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O RPPS tem ainda a prerrogativa da contratação de empresa de consultoria, de acordo com os critérios estabelecidos na Resolução CMN nº 3.922/2010, para prestar assessoramento às aplicações de recursos.</w:t>
      </w:r>
    </w:p>
    <w:p w:rsidR="00B50219" w:rsidRPr="00C7281C" w:rsidRDefault="00B50219" w:rsidP="00B50219">
      <w:pPr>
        <w:pStyle w:val="Ttulo2"/>
        <w:numPr>
          <w:ilvl w:val="1"/>
          <w:numId w:val="15"/>
        </w:numPr>
        <w:spacing w:beforeLines="120" w:before="288" w:after="0" w:line="240" w:lineRule="auto"/>
        <w:ind w:left="0" w:firstLine="0"/>
        <w:jc w:val="both"/>
        <w:rPr>
          <w:szCs w:val="20"/>
        </w:rPr>
      </w:pPr>
      <w:bookmarkStart w:id="25" w:name="_Toc435189691"/>
      <w:bookmarkStart w:id="26" w:name="_Toc435202749"/>
      <w:bookmarkStart w:id="27" w:name="_Toc465935140"/>
      <w:r w:rsidRPr="00C7281C">
        <w:rPr>
          <w:szCs w:val="20"/>
        </w:rPr>
        <w:t>ÓRGÃOS DE E</w:t>
      </w:r>
      <w:bookmarkEnd w:id="25"/>
      <w:r w:rsidRPr="00C7281C">
        <w:rPr>
          <w:szCs w:val="20"/>
        </w:rPr>
        <w:t>XECUÇÃO</w:t>
      </w:r>
      <w:bookmarkEnd w:id="26"/>
      <w:bookmarkEnd w:id="27"/>
    </w:p>
    <w:p w:rsidR="00B50219" w:rsidRPr="001A464C" w:rsidRDefault="00B50219" w:rsidP="00B50219">
      <w:pPr>
        <w:spacing w:beforeLines="120" w:before="288"/>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Compete ao Comitê de Investimentos a elaboração da Política de Investimento, que deve submetê-la para aprovação ao Conselho Deliberativo, órgão superior competente para definições estratégicas do RPPS. Essa estrutura garante a demonstração da segregação de funções adotadas pelos órgãos de execução, estando em linha com as práticas de mercado para uma boa governança corporativa.</w:t>
      </w:r>
    </w:p>
    <w:p w:rsidR="00B50219" w:rsidRPr="001A464C" w:rsidRDefault="00B50219" w:rsidP="00B50219">
      <w:pPr>
        <w:spacing w:beforeLines="120" w:before="288"/>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Esta política de investimentos estabelece as diretrizes a serem tomadas pelo comitê de investimentos na gestão dos recursos, visando atingir e obter o equilíbrio financeiro e atuarial com a solvabilidade do plano.</w:t>
      </w:r>
    </w:p>
    <w:p w:rsidR="00B50219" w:rsidRPr="001A464C" w:rsidRDefault="00B50219" w:rsidP="00B50219">
      <w:pPr>
        <w:spacing w:beforeLines="120" w:before="288"/>
        <w:jc w:val="both"/>
        <w:rPr>
          <w:rFonts w:asciiTheme="majorHAnsi" w:hAnsiTheme="majorHAnsi"/>
          <w:bCs/>
          <w:color w:val="7F7F7F" w:themeColor="text1" w:themeTint="80"/>
          <w:sz w:val="20"/>
          <w:szCs w:val="20"/>
        </w:rPr>
      </w:pPr>
    </w:p>
    <w:p w:rsidR="00B50219" w:rsidRPr="00C7281C" w:rsidRDefault="00B50219" w:rsidP="00B50219">
      <w:pPr>
        <w:keepNext/>
        <w:keepLines/>
        <w:numPr>
          <w:ilvl w:val="0"/>
          <w:numId w:val="15"/>
        </w:numPr>
        <w:spacing w:beforeLines="120" w:before="288"/>
        <w:ind w:left="0" w:firstLine="0"/>
        <w:jc w:val="both"/>
        <w:rPr>
          <w:rFonts w:asciiTheme="majorHAnsi" w:eastAsiaTheme="majorEastAsia" w:hAnsiTheme="majorHAnsi" w:cstheme="majorBidi"/>
          <w:b/>
          <w:color w:val="ED7D31"/>
          <w:sz w:val="20"/>
          <w:szCs w:val="20"/>
          <w:u w:val="single"/>
        </w:rPr>
      </w:pPr>
      <w:bookmarkStart w:id="28" w:name="_Toc435202750"/>
      <w:r w:rsidRPr="00C7281C">
        <w:rPr>
          <w:rFonts w:asciiTheme="majorHAnsi" w:eastAsiaTheme="majorEastAsia" w:hAnsiTheme="majorHAnsi" w:cstheme="majorBidi"/>
          <w:b/>
          <w:color w:val="ED7D31"/>
          <w:sz w:val="20"/>
          <w:szCs w:val="20"/>
          <w:u w:val="single"/>
        </w:rPr>
        <w:t>CONTROLE DE RISCO</w:t>
      </w:r>
      <w:bookmarkEnd w:id="28"/>
    </w:p>
    <w:p w:rsidR="00B50219" w:rsidRPr="001A464C" w:rsidRDefault="00B50219" w:rsidP="00B50219">
      <w:pPr>
        <w:spacing w:beforeLines="120" w:before="288"/>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É relevante mencionar que qualquer aplicação financeira estará sujeita à incidência de fatores de risco que podem afetar adversamente o seu retorno, entre eles:</w:t>
      </w:r>
    </w:p>
    <w:p w:rsidR="00B50219" w:rsidRPr="001A464C" w:rsidRDefault="00B50219" w:rsidP="00B50219">
      <w:pPr>
        <w:numPr>
          <w:ilvl w:val="0"/>
          <w:numId w:val="17"/>
        </w:numPr>
        <w:spacing w:beforeLines="120" w:before="288"/>
        <w:ind w:left="0" w:firstLine="0"/>
        <w:jc w:val="both"/>
        <w:rPr>
          <w:rFonts w:asciiTheme="majorHAnsi" w:hAnsiTheme="majorHAnsi"/>
          <w:bCs/>
          <w:color w:val="7F7F7F" w:themeColor="text1" w:themeTint="80"/>
          <w:sz w:val="20"/>
          <w:szCs w:val="20"/>
        </w:rPr>
      </w:pPr>
      <w:r w:rsidRPr="001A464C">
        <w:rPr>
          <w:rFonts w:asciiTheme="majorHAnsi" w:hAnsiTheme="majorHAnsi"/>
          <w:b/>
          <w:bCs/>
          <w:color w:val="7F7F7F" w:themeColor="text1" w:themeTint="80"/>
          <w:sz w:val="20"/>
          <w:szCs w:val="20"/>
        </w:rPr>
        <w:t>Risco de Mercado</w:t>
      </w:r>
      <w:r w:rsidRPr="001A464C">
        <w:rPr>
          <w:rFonts w:asciiTheme="majorHAnsi" w:hAnsiTheme="majorHAnsi"/>
          <w:bCs/>
          <w:color w:val="7F7F7F" w:themeColor="text1" w:themeTint="80"/>
          <w:sz w:val="20"/>
          <w:szCs w:val="20"/>
        </w:rPr>
        <w:t xml:space="preserve"> – é o risco inerente a todas as modalidades de aplicações financeiras disponíveis no mercado financeiro; corresponde à incerteza em relação ao resultado de um investimento financeiro ou de uma carteira de investimento, em decorrência de mudanças futuras nas </w:t>
      </w:r>
      <w:r w:rsidRPr="001A464C">
        <w:rPr>
          <w:rFonts w:asciiTheme="majorHAnsi" w:hAnsiTheme="majorHAnsi"/>
          <w:bCs/>
          <w:color w:val="7F7F7F" w:themeColor="text1" w:themeTint="80"/>
          <w:sz w:val="20"/>
          <w:szCs w:val="20"/>
        </w:rPr>
        <w:lastRenderedPageBreak/>
        <w:t>condições de mercado. É o risco de variações, oscilações nas taxas e preços de mercado, tais como taxa de juros, preços de ações e outros índices. É ligado às oscilações do mercado financeiro.</w:t>
      </w:r>
    </w:p>
    <w:p w:rsidR="00B50219" w:rsidRPr="001A464C" w:rsidRDefault="00B50219" w:rsidP="00B50219">
      <w:pPr>
        <w:numPr>
          <w:ilvl w:val="0"/>
          <w:numId w:val="17"/>
        </w:numPr>
        <w:spacing w:beforeLines="120" w:before="288"/>
        <w:ind w:left="0" w:firstLine="0"/>
        <w:jc w:val="both"/>
        <w:rPr>
          <w:rFonts w:asciiTheme="majorHAnsi" w:hAnsiTheme="majorHAnsi"/>
          <w:bCs/>
          <w:color w:val="7F7F7F" w:themeColor="text1" w:themeTint="80"/>
          <w:sz w:val="20"/>
          <w:szCs w:val="20"/>
        </w:rPr>
      </w:pPr>
      <w:r w:rsidRPr="001A464C">
        <w:rPr>
          <w:rFonts w:asciiTheme="majorHAnsi" w:hAnsiTheme="majorHAnsi"/>
          <w:b/>
          <w:bCs/>
          <w:color w:val="7F7F7F" w:themeColor="text1" w:themeTint="80"/>
          <w:sz w:val="20"/>
          <w:szCs w:val="20"/>
        </w:rPr>
        <w:t>Risco de Crédito</w:t>
      </w:r>
      <w:r w:rsidRPr="001A464C">
        <w:rPr>
          <w:rFonts w:asciiTheme="majorHAnsi" w:hAnsiTheme="majorHAnsi"/>
          <w:bCs/>
          <w:color w:val="7F7F7F" w:themeColor="text1" w:themeTint="80"/>
          <w:sz w:val="20"/>
          <w:szCs w:val="20"/>
        </w:rPr>
        <w:t xml:space="preserve"> - também conhecido como risco institucional ou de contraparte, é aquele em que há a possibilidade de o retorno de investimento não ser honrado pela instituição que emitiu determinado título, na data e nas condições negociadas e contratadas;</w:t>
      </w:r>
    </w:p>
    <w:p w:rsidR="00B50219" w:rsidRPr="001A464C" w:rsidRDefault="00B50219" w:rsidP="00B50219">
      <w:pPr>
        <w:numPr>
          <w:ilvl w:val="0"/>
          <w:numId w:val="17"/>
        </w:numPr>
        <w:spacing w:beforeLines="120" w:before="288"/>
        <w:ind w:left="0" w:firstLine="0"/>
        <w:jc w:val="both"/>
        <w:rPr>
          <w:rFonts w:asciiTheme="majorHAnsi" w:hAnsiTheme="majorHAnsi"/>
          <w:bCs/>
          <w:color w:val="7F7F7F" w:themeColor="text1" w:themeTint="80"/>
          <w:sz w:val="20"/>
          <w:szCs w:val="20"/>
        </w:rPr>
      </w:pPr>
      <w:r w:rsidRPr="001A464C">
        <w:rPr>
          <w:rFonts w:asciiTheme="majorHAnsi" w:hAnsiTheme="majorHAnsi"/>
          <w:b/>
          <w:bCs/>
          <w:color w:val="7F7F7F" w:themeColor="text1" w:themeTint="80"/>
          <w:sz w:val="20"/>
          <w:szCs w:val="20"/>
        </w:rPr>
        <w:t>Risco de Liquidez</w:t>
      </w:r>
      <w:r w:rsidRPr="001A464C">
        <w:rPr>
          <w:rFonts w:asciiTheme="majorHAnsi" w:hAnsiTheme="majorHAnsi"/>
          <w:bCs/>
          <w:color w:val="7F7F7F" w:themeColor="text1" w:themeTint="80"/>
          <w:sz w:val="20"/>
          <w:szCs w:val="20"/>
        </w:rPr>
        <w:t xml:space="preserve"> - surge da dificuldade em se conseguir encontrar compradores potenciais de um determinado ativo no momento e no preço desejado. Ocorre quando um ativo está com baixo volume de negócios e apresenta grandes diferenças entre o preço que o comprador está disposto a pagar (oferta de compra) e aquele que o vendedor gostaria de vender (oferta de venda). Quando é necessário vender algum ativo num mercado ilíquido, tende a ser difícil conseguir realizar a venda sem sacrificar o preço do ativo negociado.</w:t>
      </w:r>
    </w:p>
    <w:p w:rsidR="00B50219" w:rsidRPr="00C7281C" w:rsidRDefault="00B50219" w:rsidP="00B50219">
      <w:pPr>
        <w:pStyle w:val="Ttulo2"/>
        <w:numPr>
          <w:ilvl w:val="1"/>
          <w:numId w:val="15"/>
        </w:numPr>
        <w:spacing w:beforeLines="120" w:before="288" w:after="0" w:line="240" w:lineRule="auto"/>
        <w:ind w:left="0" w:firstLine="0"/>
        <w:jc w:val="both"/>
        <w:rPr>
          <w:szCs w:val="20"/>
        </w:rPr>
      </w:pPr>
      <w:bookmarkStart w:id="29" w:name="_Toc435189693"/>
      <w:bookmarkStart w:id="30" w:name="_Toc435202751"/>
      <w:bookmarkStart w:id="31" w:name="_Toc465935141"/>
      <w:r w:rsidRPr="00C7281C">
        <w:rPr>
          <w:szCs w:val="20"/>
        </w:rPr>
        <w:t>C</w:t>
      </w:r>
      <w:bookmarkEnd w:id="29"/>
      <w:r w:rsidRPr="00C7281C">
        <w:rPr>
          <w:szCs w:val="20"/>
        </w:rPr>
        <w:t>ONTROLE DO RISCO DE MERCADO</w:t>
      </w:r>
      <w:bookmarkEnd w:id="30"/>
      <w:bookmarkEnd w:id="31"/>
    </w:p>
    <w:p w:rsidR="00B50219" w:rsidRPr="001A464C" w:rsidRDefault="00B50219" w:rsidP="00B50219">
      <w:pPr>
        <w:spacing w:beforeLines="120" w:before="288"/>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 xml:space="preserve">O RPPS adota o </w:t>
      </w:r>
      <w:proofErr w:type="spellStart"/>
      <w:r w:rsidRPr="001A464C">
        <w:rPr>
          <w:rFonts w:asciiTheme="majorHAnsi" w:hAnsiTheme="majorHAnsi"/>
          <w:b/>
          <w:bCs/>
          <w:color w:val="7F7F7F" w:themeColor="text1" w:themeTint="80"/>
          <w:sz w:val="20"/>
          <w:szCs w:val="20"/>
        </w:rPr>
        <w:t>VaR</w:t>
      </w:r>
      <w:proofErr w:type="spellEnd"/>
      <w:r w:rsidRPr="001A464C">
        <w:rPr>
          <w:rFonts w:asciiTheme="majorHAnsi" w:hAnsiTheme="majorHAnsi"/>
          <w:b/>
          <w:bCs/>
          <w:color w:val="7F7F7F" w:themeColor="text1" w:themeTint="80"/>
          <w:sz w:val="20"/>
          <w:szCs w:val="20"/>
        </w:rPr>
        <w:t xml:space="preserve"> - </w:t>
      </w:r>
      <w:proofErr w:type="spellStart"/>
      <w:r w:rsidRPr="001A464C">
        <w:rPr>
          <w:rFonts w:asciiTheme="majorHAnsi" w:hAnsiTheme="majorHAnsi"/>
          <w:b/>
          <w:bCs/>
          <w:color w:val="7F7F7F" w:themeColor="text1" w:themeTint="80"/>
          <w:sz w:val="20"/>
          <w:szCs w:val="20"/>
        </w:rPr>
        <w:t>Value-at-Risk</w:t>
      </w:r>
      <w:proofErr w:type="spellEnd"/>
      <w:r w:rsidRPr="001A464C">
        <w:rPr>
          <w:rFonts w:asciiTheme="majorHAnsi" w:hAnsiTheme="majorHAnsi"/>
          <w:bCs/>
          <w:color w:val="7F7F7F" w:themeColor="text1" w:themeTint="80"/>
          <w:sz w:val="20"/>
          <w:szCs w:val="20"/>
        </w:rPr>
        <w:t xml:space="preserve"> para controle do risco de mercado, utilizando os seguintes parâmetros para o cálculo do mesmo:</w:t>
      </w:r>
      <w:r w:rsidRPr="001A464C">
        <w:rPr>
          <w:rFonts w:asciiTheme="majorHAnsi" w:hAnsiTheme="majorHAnsi" w:cs="Calibri"/>
          <w:color w:val="000000"/>
          <w:sz w:val="20"/>
          <w:szCs w:val="20"/>
        </w:rPr>
        <w:t xml:space="preserve"> </w:t>
      </w:r>
    </w:p>
    <w:p w:rsidR="00B50219" w:rsidRDefault="00B50219" w:rsidP="00B50219">
      <w:pPr>
        <w:numPr>
          <w:ilvl w:val="0"/>
          <w:numId w:val="18"/>
        </w:numPr>
        <w:spacing w:beforeLines="120" w:before="288"/>
        <w:ind w:left="0" w:firstLine="0"/>
        <w:jc w:val="both"/>
        <w:rPr>
          <w:rFonts w:asciiTheme="majorHAnsi" w:hAnsiTheme="majorHAnsi"/>
          <w:bCs/>
          <w:color w:val="7F7F7F" w:themeColor="text1" w:themeTint="80"/>
          <w:sz w:val="20"/>
          <w:szCs w:val="20"/>
        </w:rPr>
      </w:pPr>
      <w:r w:rsidRPr="00310039">
        <w:rPr>
          <w:rFonts w:asciiTheme="majorHAnsi" w:hAnsiTheme="majorHAnsi"/>
          <w:bCs/>
          <w:color w:val="7F7F7F" w:themeColor="text1" w:themeTint="80"/>
          <w:sz w:val="20"/>
          <w:szCs w:val="20"/>
        </w:rPr>
        <w:t>Modelo paramétrico;</w:t>
      </w:r>
    </w:p>
    <w:p w:rsidR="00B50219" w:rsidRPr="00310039" w:rsidRDefault="00B50219" w:rsidP="00B50219">
      <w:pPr>
        <w:numPr>
          <w:ilvl w:val="0"/>
          <w:numId w:val="18"/>
        </w:numPr>
        <w:spacing w:beforeLines="120" w:before="288"/>
        <w:ind w:left="0" w:firstLine="0"/>
        <w:jc w:val="both"/>
        <w:rPr>
          <w:rFonts w:asciiTheme="majorHAnsi" w:hAnsiTheme="majorHAnsi"/>
          <w:bCs/>
          <w:color w:val="7F7F7F" w:themeColor="text1" w:themeTint="80"/>
          <w:sz w:val="20"/>
          <w:szCs w:val="20"/>
        </w:rPr>
      </w:pPr>
      <w:r w:rsidRPr="00310039">
        <w:rPr>
          <w:rFonts w:asciiTheme="majorHAnsi" w:hAnsiTheme="majorHAnsi"/>
          <w:bCs/>
          <w:color w:val="7F7F7F" w:themeColor="text1" w:themeTint="80"/>
          <w:sz w:val="20"/>
          <w:szCs w:val="20"/>
        </w:rPr>
        <w:t>Intervalo de confiança de 95% (noventa e cinco por cento);</w:t>
      </w:r>
    </w:p>
    <w:p w:rsidR="00B50219" w:rsidRPr="001A464C" w:rsidRDefault="00B50219" w:rsidP="00B50219">
      <w:pPr>
        <w:numPr>
          <w:ilvl w:val="0"/>
          <w:numId w:val="18"/>
        </w:numPr>
        <w:spacing w:beforeLines="120" w:before="288"/>
        <w:ind w:left="0" w:firstLine="0"/>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Horizonte temporal de 21 dias úteis.</w:t>
      </w:r>
    </w:p>
    <w:p w:rsidR="00B50219" w:rsidRPr="001A464C" w:rsidRDefault="00B50219" w:rsidP="00B50219">
      <w:pPr>
        <w:spacing w:beforeLines="120" w:before="288"/>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Como parâmetro de monitoramento para controle do risco de mercado dos ativos que compõe a carteira, os membros do Comitê de Investimentos deverão observar as referências abaixo estabelecidas e realizar reavaliação destes ativos sempre que as referências pré-estabelecidas forem ultrapassadas.</w:t>
      </w:r>
    </w:p>
    <w:p w:rsidR="00B50219" w:rsidRPr="001A464C" w:rsidRDefault="00B50219" w:rsidP="00B50219">
      <w:pPr>
        <w:numPr>
          <w:ilvl w:val="0"/>
          <w:numId w:val="18"/>
        </w:numPr>
        <w:spacing w:beforeLines="120" w:before="288"/>
        <w:ind w:left="0" w:firstLine="0"/>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Segmento de Renda Fixa: 3,5% (três e meio por cento) do valor alocado neste segmento.</w:t>
      </w:r>
    </w:p>
    <w:p w:rsidR="00B50219" w:rsidRPr="001A464C" w:rsidRDefault="00B50219" w:rsidP="00B50219">
      <w:pPr>
        <w:numPr>
          <w:ilvl w:val="0"/>
          <w:numId w:val="18"/>
        </w:numPr>
        <w:spacing w:beforeLines="120" w:before="288"/>
        <w:ind w:left="0" w:firstLine="0"/>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Segmento de Renda Variável: 15% (quinze por cento) do valor alocado neste segmento.</w:t>
      </w:r>
    </w:p>
    <w:p w:rsidR="00B50219" w:rsidRPr="001A464C" w:rsidRDefault="00B50219" w:rsidP="00B50219">
      <w:pPr>
        <w:spacing w:beforeLines="120" w:before="288"/>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Como instrumento adicional de controle, o RPPS monitora a rentabilidade do fundo em janelas temporais (mês, ano, três meses, seis meses, doze meses e vinte e quatro meses), verificando o alinhamento com o “benchmark” estabelecido na política de investimentos do fundo. Desvios significativos deverão ser avaliados pelos membros do Comitê de Investimentos do RPPS, que decidirá pela manutenção, ou não, do investimento.</w:t>
      </w:r>
    </w:p>
    <w:p w:rsidR="00B50219" w:rsidRPr="00C7281C" w:rsidRDefault="00B50219" w:rsidP="00B50219">
      <w:pPr>
        <w:pStyle w:val="Ttulo2"/>
        <w:numPr>
          <w:ilvl w:val="1"/>
          <w:numId w:val="15"/>
        </w:numPr>
        <w:spacing w:beforeLines="120" w:before="288" w:after="0" w:line="240" w:lineRule="auto"/>
        <w:ind w:left="0" w:firstLine="0"/>
        <w:jc w:val="both"/>
        <w:rPr>
          <w:szCs w:val="20"/>
        </w:rPr>
      </w:pPr>
      <w:bookmarkStart w:id="32" w:name="_Toc435202752"/>
      <w:bookmarkStart w:id="33" w:name="_Toc465935142"/>
      <w:r w:rsidRPr="00C7281C">
        <w:rPr>
          <w:szCs w:val="20"/>
        </w:rPr>
        <w:t>CONTROLE DO RISCO DE CRÉDITO</w:t>
      </w:r>
      <w:bookmarkEnd w:id="32"/>
      <w:bookmarkEnd w:id="33"/>
    </w:p>
    <w:p w:rsidR="00B50219" w:rsidRPr="001A464C" w:rsidRDefault="00B50219" w:rsidP="00B50219">
      <w:pPr>
        <w:spacing w:beforeLines="120" w:before="288"/>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Na hipótese de aplicação de recursos financeiros do RPPS, em Fundos de Investimentos em Direitos Creditórios (FIDC) e Fundos de Investimentos em Cotas de Fundos de Investimentos em Direitos Creditórios (FICFIDC) serão considerados como de baixo risco os que estiverem de acordo com a tabela abaixo:</w:t>
      </w:r>
    </w:p>
    <w:p w:rsidR="00B50219" w:rsidRPr="001A464C" w:rsidRDefault="00B50219" w:rsidP="00B50219">
      <w:pPr>
        <w:spacing w:beforeLines="120" w:before="288"/>
        <w:jc w:val="both"/>
        <w:rPr>
          <w:rFonts w:asciiTheme="majorHAnsi" w:hAnsiTheme="majorHAnsi"/>
          <w:b/>
          <w:bCs/>
          <w:color w:val="7F7F7F" w:themeColor="text1" w:themeTint="80"/>
          <w:sz w:val="20"/>
          <w:szCs w:val="20"/>
        </w:rPr>
      </w:pPr>
      <w:r>
        <w:rPr>
          <w:rFonts w:asciiTheme="majorHAnsi" w:hAnsiTheme="majorHAnsi"/>
          <w:b/>
          <w:bCs/>
          <w:noProof/>
          <w:color w:val="7F7F7F" w:themeColor="text1" w:themeTint="80"/>
          <w:sz w:val="20"/>
          <w:szCs w:val="20"/>
        </w:rPr>
        <w:lastRenderedPageBreak/>
        <w:drawing>
          <wp:inline distT="0" distB="0" distL="0" distR="0" wp14:anchorId="5C128E18" wp14:editId="4EE2142C">
            <wp:extent cx="5398770" cy="1390015"/>
            <wp:effectExtent l="0" t="0" r="0" b="63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8770" cy="1390015"/>
                    </a:xfrm>
                    <a:prstGeom prst="rect">
                      <a:avLst/>
                    </a:prstGeom>
                    <a:noFill/>
                    <a:ln>
                      <a:noFill/>
                    </a:ln>
                  </pic:spPr>
                </pic:pic>
              </a:graphicData>
            </a:graphic>
          </wp:inline>
        </w:drawing>
      </w:r>
    </w:p>
    <w:p w:rsidR="00B50219" w:rsidRPr="001A464C" w:rsidRDefault="00B50219" w:rsidP="00B50219">
      <w:pPr>
        <w:spacing w:beforeLines="120" w:before="288"/>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As agências classificadoras de risco supracitadas estão devidamente autorizadas a operar no Brasil e utilizam o sistema de “rating” para classificar o nível de risco de uma instituição, fundo de investimentos e dos ativos integrantes de sua carteira.</w:t>
      </w:r>
    </w:p>
    <w:p w:rsidR="00B50219" w:rsidRPr="00C7281C" w:rsidRDefault="00B50219" w:rsidP="00B50219">
      <w:pPr>
        <w:pStyle w:val="Ttulo2"/>
        <w:numPr>
          <w:ilvl w:val="1"/>
          <w:numId w:val="15"/>
        </w:numPr>
        <w:spacing w:beforeLines="120" w:before="288" w:after="0" w:line="240" w:lineRule="auto"/>
        <w:ind w:left="0" w:firstLine="0"/>
        <w:jc w:val="both"/>
        <w:rPr>
          <w:szCs w:val="20"/>
        </w:rPr>
      </w:pPr>
      <w:bookmarkStart w:id="34" w:name="_Toc435189695"/>
      <w:bookmarkStart w:id="35" w:name="_Toc435202753"/>
      <w:bookmarkStart w:id="36" w:name="_Toc465935143"/>
      <w:r w:rsidRPr="00C7281C">
        <w:rPr>
          <w:szCs w:val="20"/>
        </w:rPr>
        <w:t xml:space="preserve">CONTROLE DO RISCO DE </w:t>
      </w:r>
      <w:bookmarkEnd w:id="34"/>
      <w:r w:rsidRPr="00C7281C">
        <w:rPr>
          <w:szCs w:val="20"/>
        </w:rPr>
        <w:t>LIQUIDEZ</w:t>
      </w:r>
      <w:bookmarkEnd w:id="35"/>
      <w:bookmarkEnd w:id="36"/>
      <w:r w:rsidRPr="00C7281C">
        <w:rPr>
          <w:szCs w:val="20"/>
        </w:rPr>
        <w:t xml:space="preserve"> </w:t>
      </w:r>
    </w:p>
    <w:p w:rsidR="00B50219" w:rsidRDefault="00B50219" w:rsidP="00B50219">
      <w:pPr>
        <w:spacing w:beforeLines="120" w:before="288"/>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Nas aplicações em fundos de investimentos constituídos sob a forma de condomínio fechado, e nas aplicações cuja soma do prazo de carência (se houver) acrescido ao prazo de conversão de cotas ultrapassarem em 36</w:t>
      </w:r>
      <w:r>
        <w:rPr>
          <w:rFonts w:asciiTheme="majorHAnsi" w:hAnsiTheme="majorHAnsi"/>
          <w:bCs/>
          <w:color w:val="7F7F7F" w:themeColor="text1" w:themeTint="80"/>
          <w:sz w:val="20"/>
          <w:szCs w:val="20"/>
        </w:rPr>
        <w:t>5</w:t>
      </w:r>
      <w:r w:rsidRPr="001A464C">
        <w:rPr>
          <w:rFonts w:asciiTheme="majorHAnsi" w:hAnsiTheme="majorHAnsi"/>
          <w:bCs/>
          <w:color w:val="7F7F7F" w:themeColor="text1" w:themeTint="80"/>
          <w:sz w:val="20"/>
          <w:szCs w:val="20"/>
        </w:rPr>
        <w:t xml:space="preserve"> dias, a aprovação do investimento deverá ser precedida de uma análise que evidencie a capacidade do RPPS em arcar com o fluxo de despesas necessárias ao cumprimento de suas obrigações atuariais, até a data da disponibilização dos recursos investidos.</w:t>
      </w:r>
    </w:p>
    <w:p w:rsidR="00B50219" w:rsidRPr="001A464C" w:rsidRDefault="00B50219" w:rsidP="00B50219">
      <w:pPr>
        <w:spacing w:beforeLines="120" w:before="288"/>
        <w:jc w:val="both"/>
        <w:rPr>
          <w:rFonts w:asciiTheme="majorHAnsi" w:hAnsiTheme="majorHAnsi"/>
          <w:bCs/>
          <w:color w:val="7F7F7F" w:themeColor="text1" w:themeTint="80"/>
          <w:sz w:val="20"/>
          <w:szCs w:val="20"/>
        </w:rPr>
      </w:pPr>
    </w:p>
    <w:p w:rsidR="00B50219" w:rsidRPr="00C7281C" w:rsidRDefault="00B50219" w:rsidP="00B50219">
      <w:pPr>
        <w:keepNext/>
        <w:keepLines/>
        <w:numPr>
          <w:ilvl w:val="0"/>
          <w:numId w:val="15"/>
        </w:numPr>
        <w:spacing w:beforeLines="120" w:before="288"/>
        <w:ind w:left="0" w:firstLine="0"/>
        <w:jc w:val="both"/>
        <w:rPr>
          <w:rFonts w:asciiTheme="majorHAnsi" w:eastAsiaTheme="majorEastAsia" w:hAnsiTheme="majorHAnsi" w:cstheme="majorBidi"/>
          <w:b/>
          <w:color w:val="ED7D31"/>
          <w:sz w:val="20"/>
          <w:szCs w:val="20"/>
          <w:u w:val="single"/>
        </w:rPr>
      </w:pPr>
      <w:bookmarkStart w:id="37" w:name="_Toc435189696"/>
      <w:bookmarkStart w:id="38" w:name="_Toc435202754"/>
      <w:r w:rsidRPr="00C7281C">
        <w:rPr>
          <w:rFonts w:asciiTheme="majorHAnsi" w:eastAsiaTheme="majorEastAsia" w:hAnsiTheme="majorHAnsi" w:cstheme="majorBidi"/>
          <w:b/>
          <w:color w:val="ED7D31"/>
          <w:sz w:val="20"/>
          <w:szCs w:val="20"/>
          <w:u w:val="single"/>
        </w:rPr>
        <w:t>P</w:t>
      </w:r>
      <w:bookmarkEnd w:id="37"/>
      <w:r w:rsidRPr="00C7281C">
        <w:rPr>
          <w:rFonts w:asciiTheme="majorHAnsi" w:eastAsiaTheme="majorEastAsia" w:hAnsiTheme="majorHAnsi" w:cstheme="majorBidi"/>
          <w:b/>
          <w:color w:val="ED7D31"/>
          <w:sz w:val="20"/>
          <w:szCs w:val="20"/>
          <w:u w:val="single"/>
        </w:rPr>
        <w:t>OLÍTICA DE TRANSPARÊNCIA</w:t>
      </w:r>
      <w:bookmarkEnd w:id="38"/>
    </w:p>
    <w:p w:rsidR="00B50219" w:rsidRDefault="00B50219" w:rsidP="00B50219">
      <w:pPr>
        <w:spacing w:beforeLines="120" w:before="288"/>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As informações contidas na Política de Investimentos e em suas revisões deverão ser disponibilizadas aos interessados, no prazo de trinta dias, contados de sua aprovação, observados os critérios estabelecidos pelo Ministério da Previdência Social. À vista da exigência contida no art. 4º, incisos I, II, III e IV, parágrafo primeiro e segundo e ainda, art. 5º da Resolução CMN nº 3.922/2010, a Política de Investimentos deverá ser disponibilizada no site do RPPS, Diário Oficial do Município ou em local de fácil acesso e visualização, sem prejuízo de outros canais oficiais de comunicação.</w:t>
      </w:r>
    </w:p>
    <w:p w:rsidR="00B50219" w:rsidRPr="001A464C" w:rsidRDefault="00B50219" w:rsidP="00B50219">
      <w:pPr>
        <w:spacing w:beforeLines="120" w:before="288"/>
        <w:jc w:val="both"/>
        <w:rPr>
          <w:rFonts w:asciiTheme="majorHAnsi" w:hAnsiTheme="majorHAnsi"/>
          <w:bCs/>
          <w:color w:val="7F7F7F" w:themeColor="text1" w:themeTint="80"/>
          <w:sz w:val="20"/>
          <w:szCs w:val="20"/>
        </w:rPr>
      </w:pPr>
    </w:p>
    <w:p w:rsidR="00B50219" w:rsidRPr="00C7281C" w:rsidRDefault="00B50219" w:rsidP="00B50219">
      <w:pPr>
        <w:keepNext/>
        <w:keepLines/>
        <w:numPr>
          <w:ilvl w:val="0"/>
          <w:numId w:val="15"/>
        </w:numPr>
        <w:spacing w:beforeLines="120" w:before="288"/>
        <w:ind w:left="0" w:firstLine="0"/>
        <w:jc w:val="both"/>
        <w:rPr>
          <w:rFonts w:asciiTheme="majorHAnsi" w:eastAsiaTheme="majorEastAsia" w:hAnsiTheme="majorHAnsi" w:cstheme="majorBidi"/>
          <w:b/>
          <w:color w:val="ED7D31"/>
          <w:sz w:val="20"/>
          <w:szCs w:val="20"/>
          <w:u w:val="single"/>
        </w:rPr>
      </w:pPr>
      <w:bookmarkStart w:id="39" w:name="_Toc435189697"/>
      <w:bookmarkStart w:id="40" w:name="_Toc435202755"/>
      <w:r w:rsidRPr="00C7281C">
        <w:rPr>
          <w:rFonts w:asciiTheme="majorHAnsi" w:eastAsiaTheme="majorEastAsia" w:hAnsiTheme="majorHAnsi" w:cstheme="majorBidi"/>
          <w:b/>
          <w:color w:val="ED7D31"/>
          <w:sz w:val="20"/>
          <w:szCs w:val="20"/>
          <w:u w:val="single"/>
        </w:rPr>
        <w:t>CRITÉRIOS PARA CREDENCIAMENTO</w:t>
      </w:r>
      <w:bookmarkEnd w:id="39"/>
      <w:bookmarkEnd w:id="40"/>
    </w:p>
    <w:p w:rsidR="00B50219" w:rsidRPr="001A464C" w:rsidRDefault="00B50219" w:rsidP="00B50219">
      <w:pPr>
        <w:spacing w:beforeLines="120" w:before="288"/>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Seguindo a Portaria MPS nº 519, de 24 de agosto de 2011, na gestão própria, antes da realização de qualquer operação, o RPPS, na figura de seu Comitê de Investimentos, deverá assegurar que as instituições financeiras escolhidas para receber as aplicações tenham sido objeto de prévio credenciamento.</w:t>
      </w:r>
    </w:p>
    <w:p w:rsidR="00B50219" w:rsidRPr="001A464C" w:rsidRDefault="00B50219" w:rsidP="00B50219">
      <w:pPr>
        <w:spacing w:beforeLines="120" w:before="288"/>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Para tal credenciamento, deverão ser observados, e formalmente atestados pelo representante legal do RPPS e submetido à aprovação do Comitê de Investimentos, no mínimo, quesitos como:</w:t>
      </w:r>
    </w:p>
    <w:p w:rsidR="00B50219" w:rsidRPr="001A464C" w:rsidRDefault="00B50219" w:rsidP="00B50219">
      <w:pPr>
        <w:pStyle w:val="PargrafodaLista"/>
        <w:numPr>
          <w:ilvl w:val="0"/>
          <w:numId w:val="24"/>
        </w:numPr>
        <w:spacing w:beforeLines="120" w:before="288"/>
        <w:ind w:left="0" w:firstLine="0"/>
        <w:jc w:val="both"/>
        <w:rPr>
          <w:rFonts w:asciiTheme="majorHAnsi" w:hAnsiTheme="majorHAnsi"/>
          <w:bCs/>
          <w:color w:val="7F7F7F" w:themeColor="text1" w:themeTint="80"/>
          <w:sz w:val="20"/>
          <w:szCs w:val="20"/>
        </w:rPr>
      </w:pPr>
      <w:proofErr w:type="gramStart"/>
      <w:r w:rsidRPr="001A464C">
        <w:rPr>
          <w:rFonts w:asciiTheme="majorHAnsi" w:hAnsiTheme="majorHAnsi"/>
          <w:bCs/>
          <w:color w:val="7F7F7F" w:themeColor="text1" w:themeTint="80"/>
          <w:sz w:val="20"/>
          <w:szCs w:val="20"/>
        </w:rPr>
        <w:t>atos</w:t>
      </w:r>
      <w:proofErr w:type="gramEnd"/>
      <w:r w:rsidRPr="001A464C">
        <w:rPr>
          <w:rFonts w:asciiTheme="majorHAnsi" w:hAnsiTheme="majorHAnsi"/>
          <w:bCs/>
          <w:color w:val="7F7F7F" w:themeColor="text1" w:themeTint="80"/>
          <w:sz w:val="20"/>
          <w:szCs w:val="20"/>
        </w:rPr>
        <w:t xml:space="preserve"> de registro ou autorização para funcionamento expedido pelo Banco Central do Brasil ou Comissão de Valores Mobiliários ou órgão competente;</w:t>
      </w:r>
    </w:p>
    <w:p w:rsidR="00B50219" w:rsidRPr="001A464C" w:rsidRDefault="00B50219" w:rsidP="00B50219">
      <w:pPr>
        <w:pStyle w:val="PargrafodaLista"/>
        <w:spacing w:beforeLines="120" w:before="288"/>
        <w:ind w:left="0"/>
        <w:jc w:val="both"/>
        <w:rPr>
          <w:rFonts w:asciiTheme="majorHAnsi" w:hAnsiTheme="majorHAnsi"/>
          <w:bCs/>
          <w:color w:val="7F7F7F" w:themeColor="text1" w:themeTint="80"/>
          <w:sz w:val="20"/>
          <w:szCs w:val="20"/>
        </w:rPr>
      </w:pPr>
    </w:p>
    <w:p w:rsidR="00B50219" w:rsidRPr="001A464C" w:rsidRDefault="00B50219" w:rsidP="00B50219">
      <w:pPr>
        <w:pStyle w:val="PargrafodaLista"/>
        <w:numPr>
          <w:ilvl w:val="0"/>
          <w:numId w:val="24"/>
        </w:numPr>
        <w:spacing w:beforeLines="120" w:before="288"/>
        <w:ind w:left="0" w:firstLine="0"/>
        <w:jc w:val="both"/>
        <w:rPr>
          <w:rFonts w:asciiTheme="majorHAnsi" w:hAnsiTheme="majorHAnsi"/>
          <w:bCs/>
          <w:color w:val="7F7F7F" w:themeColor="text1" w:themeTint="80"/>
          <w:sz w:val="20"/>
          <w:szCs w:val="20"/>
        </w:rPr>
      </w:pPr>
      <w:proofErr w:type="gramStart"/>
      <w:r w:rsidRPr="001A464C">
        <w:rPr>
          <w:rFonts w:asciiTheme="majorHAnsi" w:hAnsiTheme="majorHAnsi"/>
          <w:bCs/>
          <w:color w:val="7F7F7F" w:themeColor="text1" w:themeTint="80"/>
          <w:sz w:val="20"/>
          <w:szCs w:val="20"/>
        </w:rPr>
        <w:lastRenderedPageBreak/>
        <w:t>observação</w:t>
      </w:r>
      <w:proofErr w:type="gramEnd"/>
      <w:r w:rsidRPr="001A464C">
        <w:rPr>
          <w:rFonts w:asciiTheme="majorHAnsi" w:hAnsiTheme="majorHAnsi"/>
          <w:bCs/>
          <w:color w:val="7F7F7F" w:themeColor="text1" w:themeTint="80"/>
          <w:sz w:val="20"/>
          <w:szCs w:val="20"/>
        </w:rPr>
        <w:t xml:space="preserve"> de elevado padrão ético de conduta nas operações realizadas no mercado financeiro e ausência de restrições que, a critério do Banco Central do Brasil, da Comissão de Valores Mobiliários ou de outros órgãos competentes desaconselhem um relacionamento seguro;</w:t>
      </w:r>
    </w:p>
    <w:p w:rsidR="00B50219" w:rsidRPr="001A464C" w:rsidRDefault="00B50219" w:rsidP="00B50219">
      <w:pPr>
        <w:pStyle w:val="PargrafodaLista"/>
        <w:spacing w:beforeLines="120" w:before="288"/>
        <w:ind w:left="0"/>
        <w:jc w:val="both"/>
        <w:rPr>
          <w:rFonts w:asciiTheme="majorHAnsi" w:hAnsiTheme="majorHAnsi"/>
          <w:bCs/>
          <w:color w:val="7F7F7F" w:themeColor="text1" w:themeTint="80"/>
          <w:sz w:val="20"/>
          <w:szCs w:val="20"/>
        </w:rPr>
      </w:pPr>
    </w:p>
    <w:p w:rsidR="00B50219" w:rsidRPr="001A464C" w:rsidRDefault="00B50219" w:rsidP="00B50219">
      <w:pPr>
        <w:pStyle w:val="PargrafodaLista"/>
        <w:numPr>
          <w:ilvl w:val="0"/>
          <w:numId w:val="24"/>
        </w:numPr>
        <w:spacing w:beforeLines="120" w:before="288"/>
        <w:ind w:left="0" w:firstLine="0"/>
        <w:jc w:val="both"/>
        <w:rPr>
          <w:rFonts w:asciiTheme="majorHAnsi" w:hAnsiTheme="majorHAnsi"/>
          <w:bCs/>
          <w:color w:val="7F7F7F" w:themeColor="text1" w:themeTint="80"/>
          <w:sz w:val="20"/>
          <w:szCs w:val="20"/>
        </w:rPr>
      </w:pPr>
      <w:proofErr w:type="gramStart"/>
      <w:r w:rsidRPr="001A464C">
        <w:rPr>
          <w:rFonts w:asciiTheme="majorHAnsi" w:hAnsiTheme="majorHAnsi"/>
          <w:bCs/>
          <w:color w:val="7F7F7F" w:themeColor="text1" w:themeTint="80"/>
          <w:sz w:val="20"/>
          <w:szCs w:val="20"/>
        </w:rPr>
        <w:t>regularidade</w:t>
      </w:r>
      <w:proofErr w:type="gramEnd"/>
      <w:r w:rsidRPr="001A464C">
        <w:rPr>
          <w:rFonts w:asciiTheme="majorHAnsi" w:hAnsiTheme="majorHAnsi"/>
          <w:bCs/>
          <w:color w:val="7F7F7F" w:themeColor="text1" w:themeTint="80"/>
          <w:sz w:val="20"/>
          <w:szCs w:val="20"/>
        </w:rPr>
        <w:t xml:space="preserve"> fiscal e previdenciária.</w:t>
      </w:r>
    </w:p>
    <w:p w:rsidR="00B50219" w:rsidRPr="001A464C" w:rsidRDefault="00B50219" w:rsidP="00B50219">
      <w:pPr>
        <w:spacing w:beforeLines="120" w:before="288"/>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Quando se tratar de fundos de investimento, o credenciamento previsto recairá sobre a figura do gestor e do administrador do fundo.</w:t>
      </w:r>
    </w:p>
    <w:p w:rsidR="00B50219" w:rsidRPr="00C7281C" w:rsidRDefault="00B50219" w:rsidP="00B50219">
      <w:pPr>
        <w:pStyle w:val="Ttulo2"/>
        <w:numPr>
          <w:ilvl w:val="1"/>
          <w:numId w:val="15"/>
        </w:numPr>
        <w:spacing w:beforeLines="120" w:before="288" w:after="0" w:line="240" w:lineRule="auto"/>
        <w:ind w:left="0" w:firstLine="0"/>
        <w:jc w:val="both"/>
        <w:rPr>
          <w:szCs w:val="20"/>
        </w:rPr>
      </w:pPr>
      <w:bookmarkStart w:id="41" w:name="_Toc435202756"/>
      <w:bookmarkStart w:id="42" w:name="_Toc465935144"/>
      <w:r w:rsidRPr="00C7281C">
        <w:rPr>
          <w:szCs w:val="20"/>
        </w:rPr>
        <w:t>PROCESSO DE SELEÇÃO E AVALIAÇÃO DE GESTORES/ADMINISTRADORES</w:t>
      </w:r>
      <w:bookmarkEnd w:id="41"/>
      <w:bookmarkEnd w:id="42"/>
    </w:p>
    <w:p w:rsidR="00B50219" w:rsidRPr="001A464C" w:rsidRDefault="00B50219" w:rsidP="00B50219">
      <w:pPr>
        <w:spacing w:beforeLines="120" w:before="288"/>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Nos processos de seleção dos Gestores/Administradores, devem ser considerados os aspectos qualitativos e quantitativos, tendo como parâmetro de análise no mínimo:</w:t>
      </w:r>
    </w:p>
    <w:p w:rsidR="00B50219" w:rsidRPr="001A464C" w:rsidRDefault="00B50219" w:rsidP="00B50219">
      <w:pPr>
        <w:pStyle w:val="PargrafodaLista"/>
        <w:numPr>
          <w:ilvl w:val="0"/>
          <w:numId w:val="23"/>
        </w:numPr>
        <w:spacing w:beforeLines="120" w:before="288"/>
        <w:ind w:left="0" w:firstLine="0"/>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Tradição e Credibilidade da Instituição – envolvendo volume de recursos administrados e geridos, no Brasil e no exterior, capacitação profissional dos agentes envolvidos na administração e gestão de investimentos do fundo, que incluem formação acadêmica continuada, certificações, reconhecimento público etc., tempo de atuação e maturidade desses agentes na atividade, regularidade da manutenção da equipe, com base na rotatividade dos profissionais e na tempestividade na reposição, além de outras informações relacionadas com a administração e gestão de investimentos que permitam identificar a cultura fiduciária da instituição e seu compromisso com princípios de responsabilidade nos investimentos e de governança;</w:t>
      </w:r>
    </w:p>
    <w:p w:rsidR="00B50219" w:rsidRPr="001A464C" w:rsidRDefault="00B50219" w:rsidP="00B50219">
      <w:pPr>
        <w:pStyle w:val="PargrafodaLista"/>
        <w:spacing w:beforeLines="120" w:before="288"/>
        <w:ind w:left="0"/>
        <w:jc w:val="both"/>
        <w:rPr>
          <w:rFonts w:asciiTheme="majorHAnsi" w:hAnsiTheme="majorHAnsi"/>
          <w:bCs/>
          <w:color w:val="7F7F7F" w:themeColor="text1" w:themeTint="80"/>
          <w:sz w:val="20"/>
          <w:szCs w:val="20"/>
        </w:rPr>
      </w:pPr>
    </w:p>
    <w:p w:rsidR="00B50219" w:rsidRPr="001A464C" w:rsidRDefault="00B50219" w:rsidP="00B50219">
      <w:pPr>
        <w:pStyle w:val="PargrafodaLista"/>
        <w:numPr>
          <w:ilvl w:val="0"/>
          <w:numId w:val="23"/>
        </w:numPr>
        <w:spacing w:beforeLines="120" w:before="288"/>
        <w:ind w:left="0" w:firstLine="0"/>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Gestão do Risco – envolvendo qualidade e consistência dos processos de administração e gestão, em especial aos riscos de crédito – quando aplicável – liquidez, mercado, legal e operacional, efetividade dos controles internos, envolvendo, ainda, o uso de ferramentas, softwares e consultorias especializadas, regularidade na prestação de informações, atuação da área de “</w:t>
      </w:r>
      <w:proofErr w:type="spellStart"/>
      <w:r w:rsidRPr="001A464C">
        <w:rPr>
          <w:rFonts w:asciiTheme="majorHAnsi" w:hAnsiTheme="majorHAnsi"/>
          <w:bCs/>
          <w:color w:val="7F7F7F" w:themeColor="text1" w:themeTint="80"/>
          <w:sz w:val="20"/>
          <w:szCs w:val="20"/>
        </w:rPr>
        <w:t>compliance</w:t>
      </w:r>
      <w:proofErr w:type="spellEnd"/>
      <w:r w:rsidRPr="001A464C">
        <w:rPr>
          <w:rFonts w:asciiTheme="majorHAnsi" w:hAnsiTheme="majorHAnsi"/>
          <w:bCs/>
          <w:color w:val="7F7F7F" w:themeColor="text1" w:themeTint="80"/>
          <w:sz w:val="20"/>
          <w:szCs w:val="20"/>
        </w:rPr>
        <w:t>”, capacitação profissional dos agentes envolvidos na administração e gestão de risco do fundo, que incluem formação acadêmica continuada, certificações, reconhecimento público etc., tempo de atuação e maturidade desses agentes na atividade, regularidade da manutenção da equipe de risco, com base na rotatividade dos profissionais e na tempestividade na reposição, além de outras informações relacionadas com a administração e gestão do risco.</w:t>
      </w:r>
    </w:p>
    <w:p w:rsidR="00B50219" w:rsidRPr="001A464C" w:rsidRDefault="00B50219" w:rsidP="00B50219">
      <w:pPr>
        <w:pStyle w:val="PargrafodaLista"/>
        <w:spacing w:beforeLines="120" w:before="288"/>
        <w:ind w:left="0"/>
        <w:jc w:val="both"/>
        <w:rPr>
          <w:rFonts w:asciiTheme="majorHAnsi" w:hAnsiTheme="majorHAnsi"/>
          <w:bCs/>
          <w:color w:val="7F7F7F" w:themeColor="text1" w:themeTint="80"/>
          <w:sz w:val="20"/>
          <w:szCs w:val="20"/>
        </w:rPr>
      </w:pPr>
    </w:p>
    <w:p w:rsidR="00B50219" w:rsidRPr="001A464C" w:rsidRDefault="00B50219" w:rsidP="00B50219">
      <w:pPr>
        <w:pStyle w:val="PargrafodaLista"/>
        <w:numPr>
          <w:ilvl w:val="0"/>
          <w:numId w:val="23"/>
        </w:numPr>
        <w:spacing w:beforeLines="120" w:before="288"/>
        <w:ind w:left="0" w:firstLine="0"/>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Avaliação de aderência dos Fundos aos indicadores de desempenho (Benchmark) e riscos – envolvendo a correlação da rentabilidade com seus objetivos e a consistência na entrega de resultados no período mínimo de dois anos anteriores ao credenciamento;</w:t>
      </w:r>
    </w:p>
    <w:p w:rsidR="00B50219" w:rsidRPr="001A464C" w:rsidRDefault="00B50219" w:rsidP="00B50219">
      <w:pPr>
        <w:spacing w:beforeLines="120" w:before="288"/>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Entende-se que os fundos possuem uma gestão discricionária, na qual o gestor decide pelos investimentos que vai realizar, desde que respeitando o regulamento do fundo e as normas aplicáveis aos RPPS.</w:t>
      </w:r>
    </w:p>
    <w:p w:rsidR="00B50219" w:rsidRPr="001A464C" w:rsidRDefault="00B50219" w:rsidP="00B50219">
      <w:pPr>
        <w:spacing w:beforeLines="120" w:before="288"/>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O Credenciamento se dará, única e exclusivamente, de forma digital, inclusive na apresentação da documentação e Certidões requisitadas, por meio do sistema eletrônico utilizado pelo RPPS conforme procedimento:</w:t>
      </w:r>
    </w:p>
    <w:p w:rsidR="00B50219" w:rsidRPr="001A464C" w:rsidRDefault="00B50219" w:rsidP="00B50219">
      <w:pPr>
        <w:pStyle w:val="PargrafodaLista"/>
        <w:numPr>
          <w:ilvl w:val="0"/>
          <w:numId w:val="25"/>
        </w:numPr>
        <w:spacing w:beforeLines="120" w:before="288"/>
        <w:ind w:left="0" w:firstLine="0"/>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 xml:space="preserve">As Instituições Gestoras e Administradoras de Fundos de Investimentos, deverão enviar um e-mail, para o endereço </w:t>
      </w:r>
      <w:hyperlink r:id="rId10" w:history="1">
        <w:r w:rsidRPr="001A464C">
          <w:rPr>
            <w:rFonts w:asciiTheme="majorHAnsi" w:hAnsiTheme="majorHAnsi"/>
            <w:bCs/>
            <w:color w:val="7F7F7F" w:themeColor="text1" w:themeTint="80"/>
            <w:sz w:val="20"/>
            <w:szCs w:val="20"/>
          </w:rPr>
          <w:t>contato@siru.com.br</w:t>
        </w:r>
      </w:hyperlink>
      <w:r w:rsidRPr="001A464C">
        <w:rPr>
          <w:rFonts w:asciiTheme="majorHAnsi" w:hAnsiTheme="majorHAnsi"/>
          <w:bCs/>
          <w:color w:val="7F7F7F" w:themeColor="text1" w:themeTint="80"/>
          <w:sz w:val="20"/>
          <w:szCs w:val="20"/>
        </w:rPr>
        <w:t>, solicitando formalmente, o envio de “</w:t>
      </w:r>
      <w:proofErr w:type="spellStart"/>
      <w:r w:rsidRPr="001A464C">
        <w:rPr>
          <w:rFonts w:asciiTheme="majorHAnsi" w:hAnsiTheme="majorHAnsi"/>
          <w:bCs/>
          <w:color w:val="7F7F7F" w:themeColor="text1" w:themeTint="80"/>
          <w:sz w:val="20"/>
          <w:szCs w:val="20"/>
        </w:rPr>
        <w:t>Login</w:t>
      </w:r>
      <w:proofErr w:type="spellEnd"/>
      <w:r w:rsidRPr="001A464C">
        <w:rPr>
          <w:rFonts w:asciiTheme="majorHAnsi" w:hAnsiTheme="majorHAnsi"/>
          <w:bCs/>
          <w:color w:val="7F7F7F" w:themeColor="text1" w:themeTint="80"/>
          <w:sz w:val="20"/>
          <w:szCs w:val="20"/>
        </w:rPr>
        <w:t>” e “Senha de Acesso” para poder efetuar o Credenciamento;</w:t>
      </w:r>
    </w:p>
    <w:p w:rsidR="00B50219" w:rsidRPr="001A464C" w:rsidRDefault="00B50219" w:rsidP="00B50219">
      <w:pPr>
        <w:pStyle w:val="PargrafodaLista"/>
        <w:spacing w:beforeLines="120" w:before="288"/>
        <w:ind w:left="0"/>
        <w:jc w:val="both"/>
        <w:rPr>
          <w:rFonts w:asciiTheme="majorHAnsi" w:hAnsiTheme="majorHAnsi"/>
          <w:bCs/>
          <w:color w:val="7F7F7F" w:themeColor="text1" w:themeTint="80"/>
          <w:sz w:val="20"/>
          <w:szCs w:val="20"/>
        </w:rPr>
      </w:pPr>
    </w:p>
    <w:p w:rsidR="00B50219" w:rsidRPr="001A464C" w:rsidRDefault="00B50219" w:rsidP="00B50219">
      <w:pPr>
        <w:pStyle w:val="PargrafodaLista"/>
        <w:numPr>
          <w:ilvl w:val="0"/>
          <w:numId w:val="25"/>
        </w:numPr>
        <w:spacing w:beforeLines="120" w:before="288"/>
        <w:ind w:left="0" w:firstLine="0"/>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lastRenderedPageBreak/>
        <w:t>O “</w:t>
      </w:r>
      <w:proofErr w:type="spellStart"/>
      <w:r w:rsidRPr="001A464C">
        <w:rPr>
          <w:rFonts w:asciiTheme="majorHAnsi" w:hAnsiTheme="majorHAnsi"/>
          <w:bCs/>
          <w:color w:val="7F7F7F" w:themeColor="text1" w:themeTint="80"/>
          <w:sz w:val="20"/>
          <w:szCs w:val="20"/>
        </w:rPr>
        <w:t>Login</w:t>
      </w:r>
      <w:proofErr w:type="spellEnd"/>
      <w:r w:rsidRPr="001A464C">
        <w:rPr>
          <w:rFonts w:asciiTheme="majorHAnsi" w:hAnsiTheme="majorHAnsi"/>
          <w:bCs/>
          <w:color w:val="7F7F7F" w:themeColor="text1" w:themeTint="80"/>
          <w:sz w:val="20"/>
          <w:szCs w:val="20"/>
        </w:rPr>
        <w:t>” e a “Senha de Acesso” será disponibilizado, também por e-mail enviado a Instituição Interessada, em até 24 (vinte e quatro) horas úteis, do recebimento do e-mail de requisição do item anterior;</w:t>
      </w:r>
    </w:p>
    <w:p w:rsidR="00B50219" w:rsidRPr="001A464C" w:rsidRDefault="00B50219" w:rsidP="00B50219">
      <w:pPr>
        <w:pStyle w:val="PargrafodaLista"/>
        <w:spacing w:beforeLines="120" w:before="288"/>
        <w:ind w:left="0"/>
        <w:jc w:val="both"/>
        <w:rPr>
          <w:rFonts w:asciiTheme="majorHAnsi" w:hAnsiTheme="majorHAnsi"/>
          <w:bCs/>
          <w:color w:val="7F7F7F" w:themeColor="text1" w:themeTint="80"/>
          <w:sz w:val="20"/>
          <w:szCs w:val="20"/>
        </w:rPr>
      </w:pPr>
    </w:p>
    <w:p w:rsidR="00B50219" w:rsidRPr="001A464C" w:rsidRDefault="00B50219" w:rsidP="00B50219">
      <w:pPr>
        <w:pStyle w:val="PargrafodaLista"/>
        <w:numPr>
          <w:ilvl w:val="0"/>
          <w:numId w:val="25"/>
        </w:numPr>
        <w:spacing w:beforeLines="120" w:before="288"/>
        <w:ind w:left="0" w:firstLine="0"/>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De posse do “</w:t>
      </w:r>
      <w:proofErr w:type="spellStart"/>
      <w:r w:rsidRPr="001A464C">
        <w:rPr>
          <w:rFonts w:asciiTheme="majorHAnsi" w:hAnsiTheme="majorHAnsi"/>
          <w:bCs/>
          <w:color w:val="7F7F7F" w:themeColor="text1" w:themeTint="80"/>
          <w:sz w:val="20"/>
          <w:szCs w:val="20"/>
        </w:rPr>
        <w:t>Login</w:t>
      </w:r>
      <w:proofErr w:type="spellEnd"/>
      <w:r w:rsidRPr="001A464C">
        <w:rPr>
          <w:rFonts w:asciiTheme="majorHAnsi" w:hAnsiTheme="majorHAnsi"/>
          <w:bCs/>
          <w:color w:val="7F7F7F" w:themeColor="text1" w:themeTint="80"/>
          <w:sz w:val="20"/>
          <w:szCs w:val="20"/>
        </w:rPr>
        <w:t xml:space="preserve">” e da “Senha de Acesso”, as Instituições Gestoras e Administradoras de Fundos de Investimentos deverão acessar o Portal </w:t>
      </w:r>
      <w:hyperlink r:id="rId11" w:history="1">
        <w:r w:rsidRPr="001A464C">
          <w:rPr>
            <w:rFonts w:asciiTheme="majorHAnsi" w:hAnsiTheme="majorHAnsi"/>
            <w:bCs/>
            <w:color w:val="7F7F7F" w:themeColor="text1" w:themeTint="80"/>
            <w:sz w:val="20"/>
            <w:szCs w:val="20"/>
          </w:rPr>
          <w:t>www.siru.com.br</w:t>
        </w:r>
      </w:hyperlink>
      <w:r w:rsidRPr="001A464C">
        <w:rPr>
          <w:rFonts w:asciiTheme="majorHAnsi" w:hAnsiTheme="majorHAnsi"/>
          <w:bCs/>
          <w:color w:val="7F7F7F" w:themeColor="text1" w:themeTint="80"/>
          <w:sz w:val="20"/>
          <w:szCs w:val="20"/>
        </w:rPr>
        <w:t>, acessar o sistema no tópico “Acesso Restrito”, anexar a documentação e preencher os dados dispostos neste edital e requisitados no sistema, seguindo as instruções disponibilizadas no Anexo I.</w:t>
      </w:r>
    </w:p>
    <w:p w:rsidR="00B50219" w:rsidRPr="001A464C" w:rsidRDefault="00B50219" w:rsidP="00B50219">
      <w:pPr>
        <w:spacing w:beforeLines="120" w:before="288"/>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Encontra-se qualificado para participar do processo seletivo qualquer empresa gestora de recursos financeiros autorizada a funcionar pelo órgão regulador (Banco Central do Brasil ou Comissão de Valores Mobiliários), sendo considerada como elegível a gestora/administradora que atender ao critério de avaliação de Qualidade de Gestão dos Investimentos.</w:t>
      </w:r>
    </w:p>
    <w:p w:rsidR="00B50219" w:rsidRPr="001A464C" w:rsidRDefault="00B50219" w:rsidP="00B50219">
      <w:pPr>
        <w:spacing w:beforeLines="120" w:before="288"/>
        <w:jc w:val="both"/>
        <w:rPr>
          <w:rFonts w:asciiTheme="majorHAnsi" w:eastAsiaTheme="majorEastAsia" w:hAnsiTheme="majorHAnsi" w:cstheme="majorBidi"/>
          <w:b/>
          <w:color w:val="008080"/>
          <w:sz w:val="20"/>
          <w:szCs w:val="20"/>
          <w:u w:val="single"/>
        </w:rPr>
      </w:pPr>
    </w:p>
    <w:p w:rsidR="00B50219" w:rsidRPr="00C7281C" w:rsidRDefault="00B50219" w:rsidP="00B50219">
      <w:pPr>
        <w:keepNext/>
        <w:keepLines/>
        <w:numPr>
          <w:ilvl w:val="0"/>
          <w:numId w:val="15"/>
        </w:numPr>
        <w:spacing w:beforeLines="120" w:before="288"/>
        <w:ind w:left="0" w:firstLine="0"/>
        <w:jc w:val="both"/>
        <w:rPr>
          <w:rFonts w:asciiTheme="majorHAnsi" w:eastAsiaTheme="majorEastAsia" w:hAnsiTheme="majorHAnsi" w:cstheme="majorBidi"/>
          <w:b/>
          <w:color w:val="ED7D31"/>
          <w:sz w:val="20"/>
          <w:szCs w:val="20"/>
          <w:u w:val="single"/>
        </w:rPr>
      </w:pPr>
      <w:r w:rsidRPr="00C7281C">
        <w:rPr>
          <w:rFonts w:asciiTheme="majorHAnsi" w:eastAsiaTheme="majorEastAsia" w:hAnsiTheme="majorHAnsi" w:cstheme="majorBidi"/>
          <w:b/>
          <w:color w:val="ED7D31"/>
          <w:sz w:val="20"/>
          <w:szCs w:val="20"/>
        </w:rPr>
        <w:t xml:space="preserve">    </w:t>
      </w:r>
      <w:bookmarkStart w:id="43" w:name="_Toc435189700"/>
      <w:bookmarkStart w:id="44" w:name="_Toc435202758"/>
      <w:r w:rsidRPr="00C7281C">
        <w:rPr>
          <w:rFonts w:asciiTheme="majorHAnsi" w:eastAsiaTheme="majorEastAsia" w:hAnsiTheme="majorHAnsi" w:cstheme="majorBidi"/>
          <w:b/>
          <w:color w:val="ED7D31"/>
          <w:sz w:val="20"/>
          <w:szCs w:val="20"/>
          <w:u w:val="single"/>
        </w:rPr>
        <w:t>C</w:t>
      </w:r>
      <w:bookmarkEnd w:id="43"/>
      <w:r w:rsidRPr="00C7281C">
        <w:rPr>
          <w:rFonts w:asciiTheme="majorHAnsi" w:eastAsiaTheme="majorEastAsia" w:hAnsiTheme="majorHAnsi" w:cstheme="majorBidi"/>
          <w:b/>
          <w:color w:val="ED7D31"/>
          <w:sz w:val="20"/>
          <w:szCs w:val="20"/>
          <w:u w:val="single"/>
        </w:rPr>
        <w:t>ONTROLES INTERNOS</w:t>
      </w:r>
      <w:bookmarkEnd w:id="44"/>
    </w:p>
    <w:p w:rsidR="00B50219" w:rsidRPr="001A464C" w:rsidRDefault="00B50219" w:rsidP="00B50219">
      <w:pPr>
        <w:spacing w:beforeLines="120" w:before="288"/>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Antes das aplicações, a gestão do RPPS deverá verificar, no mínimo, aspectos como: enquadramento do produto quanto às exigências legais, seu histórico de rentabilidade, riscos e perspectiva de rentabilidade satisfatória no horizonte de tempo.</w:t>
      </w:r>
    </w:p>
    <w:p w:rsidR="00B50219" w:rsidRPr="001A464C" w:rsidRDefault="00B50219" w:rsidP="00B50219">
      <w:pPr>
        <w:spacing w:beforeLines="120" w:before="288"/>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 xml:space="preserve">Todos os ativos e valores mobiliários adquiridos pelo RPPS deverão ser registrados nos Sistemas de Liquidação e Custódia: SELIC, CETIP ou Câmaras de Compensação autorizadas pela CVM. </w:t>
      </w:r>
    </w:p>
    <w:p w:rsidR="00B50219" w:rsidRPr="001A464C" w:rsidRDefault="00B50219" w:rsidP="00B50219">
      <w:pPr>
        <w:spacing w:beforeLines="120" w:before="288"/>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A gestão do RPPS sempre fará a comparação dos investimentos com a sua meta atuarial para identificar aqueles com rentabilidade insatisfatória, ou inadequação ao cenário econômico, visando possíveis indicações de solicitação de resgate.</w:t>
      </w:r>
    </w:p>
    <w:p w:rsidR="00B50219" w:rsidRPr="001A464C" w:rsidRDefault="00B50219" w:rsidP="00B50219">
      <w:pPr>
        <w:spacing w:beforeLines="120" w:before="288"/>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Com base nas determinações da Portaria MPS nº 170, de 26 de abril de 2012, alterada pela Portaria MPS nº 440, de 09 de outubro de 2013, foi instituído o Comitê de Investimentos no âmbito do RPPS, com a finalidade de participar no processo decisório quanto à formulação e execução da política de investimentos, resgates e aplicações dos recursos financeiros resultantes de repasses de contribuições previdenciárias dos órgãos patrocinadores, de servidores ativos, inativos e pensionistas, bem como de outras receitas do RPPS.</w:t>
      </w:r>
    </w:p>
    <w:p w:rsidR="00B50219" w:rsidRPr="001A464C" w:rsidRDefault="00B50219" w:rsidP="00B50219">
      <w:pPr>
        <w:spacing w:beforeLines="120" w:before="288"/>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 xml:space="preserve">Compete ao Comitê de Investimentos, orientar a aplicação dos recursos financeiros e a operacionalização da Política de Investimentos do RPPS. Ainda dentro de suas atribuições, é de sua competência: </w:t>
      </w:r>
    </w:p>
    <w:p w:rsidR="00B50219" w:rsidRPr="001A464C" w:rsidRDefault="00B50219" w:rsidP="00B50219">
      <w:pPr>
        <w:spacing w:beforeLines="120" w:before="288"/>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I - garantir o cumprimento da legislação e da política de investimentos;</w:t>
      </w:r>
    </w:p>
    <w:p w:rsidR="00B50219" w:rsidRPr="001A464C" w:rsidRDefault="00B50219" w:rsidP="00B50219">
      <w:pPr>
        <w:spacing w:beforeLines="120" w:before="288"/>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II - avaliar a conveniência e adequação dos investimentos;</w:t>
      </w:r>
    </w:p>
    <w:p w:rsidR="00B50219" w:rsidRPr="001A464C" w:rsidRDefault="00B50219" w:rsidP="00B50219">
      <w:pPr>
        <w:spacing w:beforeLines="120" w:before="288"/>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III - monitorar o grau de risco dos investimentos;</w:t>
      </w:r>
    </w:p>
    <w:p w:rsidR="00B50219" w:rsidRPr="001A464C" w:rsidRDefault="00B50219" w:rsidP="00B50219">
      <w:pPr>
        <w:spacing w:beforeLines="120" w:before="288"/>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 xml:space="preserve">IV - observar que a rentabilidade dos recursos </w:t>
      </w:r>
      <w:proofErr w:type="spellStart"/>
      <w:r w:rsidRPr="001A464C">
        <w:rPr>
          <w:rFonts w:asciiTheme="majorHAnsi" w:hAnsiTheme="majorHAnsi"/>
          <w:bCs/>
          <w:color w:val="7F7F7F" w:themeColor="text1" w:themeTint="80"/>
          <w:sz w:val="20"/>
          <w:szCs w:val="20"/>
        </w:rPr>
        <w:t>esteja</w:t>
      </w:r>
      <w:proofErr w:type="spellEnd"/>
      <w:r w:rsidRPr="001A464C">
        <w:rPr>
          <w:rFonts w:asciiTheme="majorHAnsi" w:hAnsiTheme="majorHAnsi"/>
          <w:bCs/>
          <w:color w:val="7F7F7F" w:themeColor="text1" w:themeTint="80"/>
          <w:sz w:val="20"/>
          <w:szCs w:val="20"/>
        </w:rPr>
        <w:t xml:space="preserve"> de acordo com o nível de risco assumido pela entidade;</w:t>
      </w:r>
    </w:p>
    <w:p w:rsidR="00B50219" w:rsidRPr="001A464C" w:rsidRDefault="00B50219" w:rsidP="00B50219">
      <w:pPr>
        <w:spacing w:beforeLines="120" w:before="288"/>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lastRenderedPageBreak/>
        <w:t>V - garantir a gestão ética e transparente dos recursos.</w:t>
      </w:r>
    </w:p>
    <w:p w:rsidR="00B50219" w:rsidRPr="001A464C" w:rsidRDefault="00B50219" w:rsidP="00B50219">
      <w:pPr>
        <w:spacing w:beforeLines="120" w:before="288"/>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Sua atuação será pautada na avaliação das alternativas de investimentos com base nas expectativas quanto ao comportamento das variáveis econômicas e ficará limitada às determinações desta Política.</w:t>
      </w:r>
    </w:p>
    <w:p w:rsidR="00B50219" w:rsidRPr="001A464C" w:rsidRDefault="00B50219" w:rsidP="00B50219">
      <w:pPr>
        <w:spacing w:beforeLines="120" w:before="288"/>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 xml:space="preserve">São avaliados pelos responsáveis pela gestão dos recursos do </w:t>
      </w:r>
      <w:r w:rsidRPr="0098062C">
        <w:rPr>
          <w:rFonts w:asciiTheme="majorHAnsi" w:hAnsiTheme="majorHAnsi"/>
          <w:bCs/>
          <w:color w:val="7F7F7F" w:themeColor="text1" w:themeTint="80"/>
          <w:sz w:val="20"/>
          <w:szCs w:val="20"/>
        </w:rPr>
        <w:t>INSTITUTO DE PREVIDÊNCIA MUNICIPAL DE LAVRAS</w:t>
      </w:r>
      <w:r w:rsidRPr="001A464C">
        <w:rPr>
          <w:rFonts w:asciiTheme="majorHAnsi" w:hAnsiTheme="majorHAnsi"/>
          <w:bCs/>
          <w:color w:val="7F7F7F" w:themeColor="text1" w:themeTint="80"/>
          <w:sz w:val="20"/>
          <w:szCs w:val="20"/>
        </w:rPr>
        <w:t>, relatórios de acompanhamento das aplicações e operações de aquisição e venda de títulos, valores mobiliários e demais ativos alocados nos diversos segmentos de aplicação. Esse relatório será elaborado trimestralmente e terá como objetivo documentar e acompanhar a aplicação de seus recursos.</w:t>
      </w:r>
    </w:p>
    <w:p w:rsidR="00B50219" w:rsidRPr="001A464C" w:rsidRDefault="00B50219" w:rsidP="00B50219">
      <w:pPr>
        <w:spacing w:beforeLines="120" w:before="288"/>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Os relatórios supracitados serão mantidos e colocados à disposição do Ministério da Previdência Social, Tribunal de Contas do Estado, Conselho Fiscal e de Administração e demais órgãos fiscalizadores.</w:t>
      </w:r>
    </w:p>
    <w:p w:rsidR="00B50219" w:rsidRPr="001A464C" w:rsidRDefault="00B50219" w:rsidP="00B50219">
      <w:pPr>
        <w:spacing w:beforeLines="120" w:before="288"/>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Caberá ao comitê de investimentos do RPPS acompanhar a Política de Investimentos e sua aderência legal analisando a efetiva aplicação dos seus dispositivos.</w:t>
      </w:r>
    </w:p>
    <w:p w:rsidR="00B50219" w:rsidRPr="001A464C" w:rsidRDefault="00B50219" w:rsidP="00B50219">
      <w:pPr>
        <w:spacing w:beforeLines="120" w:before="288"/>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 xml:space="preserve">As operações realizadas no mercado secundário (compra/venda de títulos públicos) deverão ser realizadas através de plataforma eletrônica autorizada, </w:t>
      </w:r>
      <w:proofErr w:type="spellStart"/>
      <w:r w:rsidRPr="001A464C">
        <w:rPr>
          <w:rFonts w:asciiTheme="majorHAnsi" w:hAnsiTheme="majorHAnsi"/>
          <w:bCs/>
          <w:color w:val="7F7F7F" w:themeColor="text1" w:themeTint="80"/>
          <w:sz w:val="20"/>
          <w:szCs w:val="20"/>
        </w:rPr>
        <w:t>Sisbex</w:t>
      </w:r>
      <w:proofErr w:type="spellEnd"/>
      <w:r w:rsidRPr="001A464C">
        <w:rPr>
          <w:rFonts w:asciiTheme="majorHAnsi" w:hAnsiTheme="majorHAnsi"/>
          <w:bCs/>
          <w:color w:val="7F7F7F" w:themeColor="text1" w:themeTint="80"/>
          <w:sz w:val="20"/>
          <w:szCs w:val="20"/>
        </w:rPr>
        <w:t xml:space="preserve"> da BM&amp;F e </w:t>
      </w:r>
      <w:proofErr w:type="spellStart"/>
      <w:r w:rsidRPr="001A464C">
        <w:rPr>
          <w:rFonts w:asciiTheme="majorHAnsi" w:hAnsiTheme="majorHAnsi"/>
          <w:bCs/>
          <w:color w:val="7F7F7F" w:themeColor="text1" w:themeTint="80"/>
          <w:sz w:val="20"/>
          <w:szCs w:val="20"/>
        </w:rPr>
        <w:t>CetipNet</w:t>
      </w:r>
      <w:proofErr w:type="spellEnd"/>
      <w:r w:rsidRPr="001A464C">
        <w:rPr>
          <w:rFonts w:asciiTheme="majorHAnsi" w:hAnsiTheme="majorHAnsi"/>
          <w:bCs/>
          <w:color w:val="7F7F7F" w:themeColor="text1" w:themeTint="80"/>
          <w:sz w:val="20"/>
          <w:szCs w:val="20"/>
        </w:rPr>
        <w:t xml:space="preserve"> da </w:t>
      </w:r>
      <w:proofErr w:type="spellStart"/>
      <w:r w:rsidRPr="001A464C">
        <w:rPr>
          <w:rFonts w:asciiTheme="majorHAnsi" w:hAnsiTheme="majorHAnsi"/>
          <w:bCs/>
          <w:color w:val="7F7F7F" w:themeColor="text1" w:themeTint="80"/>
          <w:sz w:val="20"/>
          <w:szCs w:val="20"/>
        </w:rPr>
        <w:t>Cetip</w:t>
      </w:r>
      <w:proofErr w:type="spellEnd"/>
      <w:r w:rsidRPr="001A464C">
        <w:rPr>
          <w:rFonts w:asciiTheme="majorHAnsi" w:hAnsiTheme="majorHAnsi"/>
          <w:bCs/>
          <w:color w:val="7F7F7F" w:themeColor="text1" w:themeTint="80"/>
          <w:sz w:val="20"/>
          <w:szCs w:val="20"/>
        </w:rPr>
        <w:t xml:space="preserve"> que já atendem aos pré-requisitos para oferecer as rodas de negociação nos moldes exigidos pelo Tesouro Nacional e pelo Banco Central. O RPPS deverá ainda, realizar o acompanhamento de preços e taxas praticados em tais operações e compará-los aos preços e taxas utilizados como referência de mercado (ANBIMA).</w:t>
      </w:r>
    </w:p>
    <w:p w:rsidR="00B50219" w:rsidRPr="001A464C" w:rsidRDefault="00B50219" w:rsidP="00B50219">
      <w:pPr>
        <w:spacing w:beforeLines="120" w:before="288"/>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Dentro da vigência do contrato que o RPPS mantém com a</w:t>
      </w:r>
      <w:r w:rsidRPr="001A464C">
        <w:rPr>
          <w:rFonts w:asciiTheme="majorHAnsi" w:hAnsiTheme="majorHAnsi"/>
          <w:b/>
          <w:bCs/>
          <w:color w:val="FF0000"/>
          <w:sz w:val="20"/>
          <w:szCs w:val="20"/>
        </w:rPr>
        <w:t xml:space="preserve"> </w:t>
      </w:r>
      <w:r w:rsidRPr="001A464C">
        <w:rPr>
          <w:rFonts w:asciiTheme="majorHAnsi" w:hAnsiTheme="majorHAnsi"/>
          <w:bCs/>
          <w:color w:val="7F7F7F" w:themeColor="text1" w:themeTint="80"/>
          <w:sz w:val="20"/>
          <w:szCs w:val="20"/>
        </w:rPr>
        <w:t>empresa de consultoria de investimentos, está contemplada a consulta às oportunidades de investimentos a serem realizados no âmbito desta política de investimentos.</w:t>
      </w:r>
    </w:p>
    <w:p w:rsidR="00B50219" w:rsidRPr="001A464C" w:rsidRDefault="00B50219" w:rsidP="00B50219">
      <w:pPr>
        <w:spacing w:beforeLines="120" w:before="288"/>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 xml:space="preserve">É importante ressaltar que, seja qual for à alocação de ativos, o mercado poderá apresentar períodos adversos, que poderão afetar ao menos parte da carteira. Portanto, é imperativo observar um horizonte de tempo que possa ajustar essas flutuações e permitir a recuperação da ocorrência de ocasionais perdas. Desta forma, o RPPS deve manter-se fiel à política de investimentos definida originalmente a partir do seu perfil de risco. </w:t>
      </w:r>
    </w:p>
    <w:p w:rsidR="00B50219" w:rsidRPr="001A464C" w:rsidRDefault="00B50219" w:rsidP="00B50219">
      <w:pPr>
        <w:spacing w:beforeLines="120" w:before="288"/>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 xml:space="preserve">E, de forma organizada, remanejar a alocação inicial em momentos de alta (vendendo) ou baixa (comprando) com o objetivo de </w:t>
      </w:r>
      <w:proofErr w:type="spellStart"/>
      <w:r w:rsidRPr="001A464C">
        <w:rPr>
          <w:rFonts w:asciiTheme="majorHAnsi" w:hAnsiTheme="majorHAnsi"/>
          <w:bCs/>
          <w:color w:val="7F7F7F" w:themeColor="text1" w:themeTint="80"/>
          <w:sz w:val="20"/>
          <w:szCs w:val="20"/>
        </w:rPr>
        <w:t>rebalancear</w:t>
      </w:r>
      <w:proofErr w:type="spellEnd"/>
      <w:r w:rsidRPr="001A464C">
        <w:rPr>
          <w:rFonts w:asciiTheme="majorHAnsi" w:hAnsiTheme="majorHAnsi"/>
          <w:bCs/>
          <w:color w:val="7F7F7F" w:themeColor="text1" w:themeTint="80"/>
          <w:sz w:val="20"/>
          <w:szCs w:val="20"/>
        </w:rPr>
        <w:t xml:space="preserve"> sua carteira de investimentos. Três virtudes básicas de um bom investidor são fundamentais: disciplina, paciência e diversificação.</w:t>
      </w:r>
    </w:p>
    <w:p w:rsidR="00B50219" w:rsidRPr="001A464C" w:rsidRDefault="00B50219" w:rsidP="00B50219">
      <w:pPr>
        <w:spacing w:beforeLines="120" w:before="288"/>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As aplicações realizadas pelo RPPS passarão por um processo de análise, para o qual serão utilizadas algumas ferramentas disponíveis no mercado, como o histórico de cotas de fundos de investimentos, abertura de carteira de investimentos, informações de mercado on-line, pesquisa em sites institucionais e outras.</w:t>
      </w:r>
    </w:p>
    <w:p w:rsidR="00B50219" w:rsidRPr="001A464C" w:rsidRDefault="00B50219" w:rsidP="00B50219">
      <w:pPr>
        <w:spacing w:beforeLines="120" w:before="288"/>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 xml:space="preserve">Além de estudar o regulamento e o prospecto dos fundos de investimentos, será feita uma análise do gestor/administrador e da taxa de administração cobrada, dentre outros critérios. Os investimentos serão constantemente avaliados através de acompanhamento de desempenho, da abertura da composição das carteiras e avaliações de ativos. </w:t>
      </w:r>
    </w:p>
    <w:p w:rsidR="00B50219" w:rsidRPr="001A464C" w:rsidRDefault="00B50219" w:rsidP="00B50219">
      <w:pPr>
        <w:spacing w:beforeLines="120" w:before="288"/>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lastRenderedPageBreak/>
        <w:t>As avaliações são feitas para orientar as definições de estratégias e as tomadas de decisões, de forma a aperfeiçoar o retorno da carteira e minimizar riscos.</w:t>
      </w:r>
    </w:p>
    <w:p w:rsidR="00B50219" w:rsidRPr="00C7281C" w:rsidRDefault="00B50219" w:rsidP="00B50219">
      <w:pPr>
        <w:pStyle w:val="Ttulo1"/>
        <w:rPr>
          <w:bCs/>
        </w:rPr>
      </w:pPr>
      <w:bookmarkStart w:id="45" w:name="_Toc465935145"/>
      <w:r w:rsidRPr="00C7281C">
        <w:t>11.</w:t>
      </w:r>
      <w:r w:rsidRPr="00C7281C">
        <w:tab/>
        <w:t>DISPOSIÇÕES GERAIS</w:t>
      </w:r>
      <w:bookmarkEnd w:id="45"/>
    </w:p>
    <w:p w:rsidR="00B50219" w:rsidRPr="001A464C" w:rsidRDefault="00B50219" w:rsidP="00B50219">
      <w:pPr>
        <w:spacing w:beforeLines="120" w:before="288"/>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A presente Política de Investimentos poderá ser revista no curso de sua execução e monitorada no curto prazo, a contar da data de sua aprovação pelo órgão superior competente do RPPS, sendo que o prazo de validade compreenderá o ano de 2017.</w:t>
      </w:r>
    </w:p>
    <w:p w:rsidR="00B50219" w:rsidRPr="001A464C" w:rsidRDefault="00B50219" w:rsidP="00B50219">
      <w:pPr>
        <w:spacing w:beforeLines="120" w:before="288"/>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Reuniões extraordinárias junto ao Conselho do RPPS serão realizadas sempre que houver necessidade de ajustes nesta política de investimentos perante o comportamento/conjuntura do mercado, quando se apresentar o interesse da preservação dos ativos financeiros e/ou com vistas à adequação à nova legislação.</w:t>
      </w:r>
    </w:p>
    <w:p w:rsidR="00B50219" w:rsidRPr="001A464C" w:rsidRDefault="00B50219" w:rsidP="00B50219">
      <w:pPr>
        <w:spacing w:beforeLines="120" w:before="288"/>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 xml:space="preserve">Deverão estar certificados os responsáveis pelo acompanhamento e operacionalização dos investimentos do RPPS, através de exame de certificação organizado por entidade autônoma de reconhecida capacidade técnica e difusão no mercado brasileiro de capitais, cujo conteúdo abrangerá, no mínimo, o contido no anexo a Portaria MPAS nº 519, de 24 de agosto de 2011. </w:t>
      </w:r>
    </w:p>
    <w:p w:rsidR="00B50219" w:rsidRPr="001A464C" w:rsidRDefault="00B50219" w:rsidP="00B50219">
      <w:pPr>
        <w:spacing w:beforeLines="120" w:before="288"/>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 xml:space="preserve">A comprovação da habilitação ocorrerá mediante o preenchimento dos campos específicos constantes do Demonstrativo da Política de Investimentos - DPIN e do Demonstrativo de Aplicações e Investimentos dos Recursos - DAIR. </w:t>
      </w:r>
    </w:p>
    <w:p w:rsidR="00B50219" w:rsidRPr="001A464C" w:rsidRDefault="00B50219" w:rsidP="00B50219">
      <w:pPr>
        <w:spacing w:beforeLines="120" w:before="288"/>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As Instituições Financeiras que operem e que venham a operar com o RPPS poderão, a título institucional, oferecer apoio técnico através de cursos, seminários e workshops ministrados por profissionais de mercado e/ou funcionários das Instituições para capacitação de servidores e membros dos órgãos colegiados do RPPS; bem como, contraprestação de serviços e projetos de iniciativa do RPPS, sem que haja ônus ou compromisso vinculados aos produtos de investimentos.</w:t>
      </w:r>
    </w:p>
    <w:p w:rsidR="00B50219" w:rsidRPr="001A464C" w:rsidRDefault="00B50219" w:rsidP="00B50219">
      <w:pPr>
        <w:spacing w:beforeLines="120" w:before="288"/>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Ressalvadas situações especiais a serem avaliadas pelo Comitê de Investimentos do RPPS (tais como fundos fechados, fundos abertos com prazos de captação limitados), os fundos elegíveis para alocação deverão apresentar série histórica de, no mínimo, 6 (seis) meses, contados da data de início de funcionamento do fundo.</w:t>
      </w:r>
    </w:p>
    <w:p w:rsidR="00B50219" w:rsidRPr="001A464C" w:rsidRDefault="00B50219" w:rsidP="00B50219">
      <w:pPr>
        <w:spacing w:beforeLines="120" w:before="288"/>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Casos omissos nesta Política de Investimentos remetem-se à Resolução CMN n° 3.922/2010, e à Portaria MPS nº 519, de 24 de agosto de 2011.</w:t>
      </w:r>
    </w:p>
    <w:p w:rsidR="00B50219" w:rsidRPr="001A464C" w:rsidRDefault="00B50219" w:rsidP="00B50219">
      <w:pPr>
        <w:spacing w:beforeLines="120" w:before="288"/>
        <w:jc w:val="both"/>
        <w:rPr>
          <w:rFonts w:asciiTheme="majorHAnsi" w:hAnsiTheme="majorHAnsi"/>
          <w:bCs/>
          <w:color w:val="7F7F7F" w:themeColor="text1" w:themeTint="80"/>
          <w:sz w:val="20"/>
          <w:szCs w:val="20"/>
        </w:rPr>
      </w:pPr>
      <w:r w:rsidRPr="001A464C">
        <w:rPr>
          <w:rFonts w:asciiTheme="majorHAnsi" w:hAnsiTheme="majorHAnsi"/>
          <w:bCs/>
          <w:color w:val="7F7F7F" w:themeColor="text1" w:themeTint="80"/>
          <w:sz w:val="20"/>
          <w:szCs w:val="20"/>
        </w:rPr>
        <w:t>É parte integrante desta Política de Investimentos, cópia da Ata do órgão superior competente que aprova o presente instrumento, devidamente assinada por seus membros.</w:t>
      </w:r>
    </w:p>
    <w:p w:rsidR="00B50219" w:rsidRPr="001A464C" w:rsidRDefault="00B50219" w:rsidP="00B50219">
      <w:pPr>
        <w:spacing w:beforeLines="120" w:before="288"/>
        <w:jc w:val="both"/>
        <w:rPr>
          <w:rFonts w:asciiTheme="majorHAnsi" w:hAnsiTheme="majorHAnsi"/>
          <w:sz w:val="20"/>
          <w:szCs w:val="20"/>
        </w:rPr>
      </w:pPr>
      <w:bookmarkStart w:id="46" w:name="_GoBack"/>
      <w:bookmarkEnd w:id="46"/>
      <w:r w:rsidRPr="001A464C">
        <w:rPr>
          <w:rFonts w:asciiTheme="majorHAnsi" w:hAnsiTheme="majorHAnsi"/>
          <w:sz w:val="20"/>
          <w:szCs w:val="20"/>
        </w:rPr>
        <w:br w:type="page"/>
      </w:r>
    </w:p>
    <w:p w:rsidR="00B50219" w:rsidRPr="00C7281C" w:rsidRDefault="00B50219" w:rsidP="00B50219">
      <w:pPr>
        <w:pStyle w:val="Ttulo1"/>
        <w:jc w:val="center"/>
      </w:pPr>
      <w:bookmarkStart w:id="47" w:name="_Toc465935146"/>
      <w:r w:rsidRPr="00C7281C">
        <w:lastRenderedPageBreak/>
        <w:t>DISCLAIMER</w:t>
      </w:r>
      <w:bookmarkEnd w:id="47"/>
    </w:p>
    <w:p w:rsidR="00B50219" w:rsidRPr="002A5EF9" w:rsidRDefault="00B50219" w:rsidP="00B50219"/>
    <w:p w:rsidR="00B50219" w:rsidRPr="00DA46DB" w:rsidRDefault="00B50219" w:rsidP="00B50219">
      <w:pPr>
        <w:spacing w:beforeLines="120" w:before="288"/>
        <w:jc w:val="both"/>
        <w:rPr>
          <w:rFonts w:asciiTheme="majorHAnsi" w:hAnsiTheme="majorHAnsi"/>
          <w:bCs/>
          <w:i/>
          <w:color w:val="7F7F7F" w:themeColor="text1" w:themeTint="80"/>
          <w:sz w:val="14"/>
          <w:szCs w:val="20"/>
        </w:rPr>
      </w:pPr>
      <w:r w:rsidRPr="00DA46DB">
        <w:rPr>
          <w:rFonts w:asciiTheme="majorHAnsi" w:hAnsiTheme="majorHAnsi"/>
          <w:bCs/>
          <w:i/>
          <w:color w:val="7F7F7F" w:themeColor="text1" w:themeTint="80"/>
          <w:sz w:val="14"/>
          <w:szCs w:val="20"/>
        </w:rPr>
        <w:t>Este Relatório e/ou Parecer foi preparado para uso exclusivo do destinatário, não podendo ser reproduzido ou distribuído por este a qualquer pessoa sem expressa autorização da Empresa. As informações aqui contidas são somente com o objetivo de prover informações e não representa, em nenhuma hipótese, uma oferta de compra e venda ou solicitação de compra e venda de qualquer valor mobiliário ou instrumento financeiro. Esta é apenas uma OPINIÃO que reflete o momento da análise e são consubstanciadas em informações coletadas que julgamos confiáveis.</w:t>
      </w:r>
    </w:p>
    <w:p w:rsidR="00B50219" w:rsidRPr="00DA46DB" w:rsidRDefault="00B50219" w:rsidP="00B50219">
      <w:pPr>
        <w:spacing w:beforeLines="120" w:before="288"/>
        <w:jc w:val="both"/>
        <w:rPr>
          <w:rFonts w:asciiTheme="majorHAnsi" w:hAnsiTheme="majorHAnsi"/>
          <w:bCs/>
          <w:i/>
          <w:color w:val="7F7F7F" w:themeColor="text1" w:themeTint="80"/>
          <w:sz w:val="14"/>
          <w:szCs w:val="20"/>
        </w:rPr>
      </w:pPr>
      <w:r w:rsidRPr="00DA46DB">
        <w:rPr>
          <w:rFonts w:asciiTheme="majorHAnsi" w:hAnsiTheme="majorHAnsi"/>
          <w:bCs/>
          <w:i/>
          <w:color w:val="7F7F7F" w:themeColor="text1" w:themeTint="80"/>
          <w:sz w:val="14"/>
          <w:szCs w:val="20"/>
        </w:rPr>
        <w:t>Não nos responsabilizamos pela utilização destas informações em suas tomadas de decisão e consequentes perdas e ganhos. As informações aqui contidas não representam garantia de exatidão das informações prestadas ou julgamento sobre a qualidade das mesmas, e não devem ser consideradas como tais. As opiniões contidas neste Relatório e/ou Parecer são baseadas em julgamentos e estimativas, estando, portanto, sujeitas a mudanças.</w:t>
      </w:r>
    </w:p>
    <w:p w:rsidR="00B50219" w:rsidRPr="00DA46DB" w:rsidRDefault="00B50219" w:rsidP="00B50219">
      <w:pPr>
        <w:spacing w:beforeLines="120" w:before="288"/>
        <w:jc w:val="both"/>
        <w:rPr>
          <w:rFonts w:asciiTheme="majorHAnsi" w:hAnsiTheme="majorHAnsi"/>
          <w:bCs/>
          <w:i/>
          <w:color w:val="7F7F7F" w:themeColor="text1" w:themeTint="80"/>
          <w:sz w:val="14"/>
          <w:szCs w:val="20"/>
        </w:rPr>
      </w:pPr>
      <w:r w:rsidRPr="00DA46DB">
        <w:rPr>
          <w:rFonts w:asciiTheme="majorHAnsi" w:hAnsiTheme="majorHAnsi"/>
          <w:bCs/>
          <w:i/>
          <w:color w:val="7F7F7F" w:themeColor="text1" w:themeTint="80"/>
          <w:sz w:val="14"/>
          <w:szCs w:val="20"/>
        </w:rPr>
        <w:t>As informações deste Relatório procuram estar em consonância com o regulamento dos produtos mencionados, mas não substituem seus materiais regulatórios, como regulamentos e prospectos de distribuição. É recomendada a leitura cuidadosa tanto do prospecto quanto do regulamento, com especial atenção para as cláusulas relativas ao objetivo e à política de investimento dos produtos de investimento, bem como às disposições do prospecto e do regulamento que tratam dos fatoras de risco a que o fundo está exposto. Todas as informações sobre os produtos aqui mencionados, bem como o regulamento e o prospecto, podem ser obtidas com o responsável pela distribuição.</w:t>
      </w:r>
    </w:p>
    <w:p w:rsidR="00B50219" w:rsidRPr="00DA46DB" w:rsidRDefault="00B50219" w:rsidP="00B50219">
      <w:pPr>
        <w:spacing w:beforeLines="120" w:before="288"/>
        <w:jc w:val="both"/>
        <w:rPr>
          <w:rFonts w:asciiTheme="majorHAnsi" w:hAnsiTheme="majorHAnsi"/>
          <w:bCs/>
          <w:i/>
          <w:color w:val="7F7F7F" w:themeColor="text1" w:themeTint="80"/>
          <w:sz w:val="14"/>
          <w:szCs w:val="20"/>
        </w:rPr>
      </w:pPr>
      <w:r w:rsidRPr="00DA46DB">
        <w:rPr>
          <w:rFonts w:asciiTheme="majorHAnsi" w:hAnsiTheme="majorHAnsi"/>
          <w:bCs/>
          <w:i/>
          <w:color w:val="7F7F7F" w:themeColor="text1" w:themeTint="80"/>
          <w:sz w:val="14"/>
          <w:szCs w:val="20"/>
        </w:rPr>
        <w:t>A rentabilidade obtida no passado não representa garantia de rentabilidade futura e os produtos estruturados possuem, além da volatilidade, riscos associados à sua carteira de crédito e estruturação.</w:t>
      </w:r>
    </w:p>
    <w:p w:rsidR="00B50219" w:rsidRPr="00DA46DB" w:rsidRDefault="00B50219" w:rsidP="00B50219">
      <w:pPr>
        <w:spacing w:beforeLines="120" w:before="288"/>
        <w:jc w:val="both"/>
        <w:rPr>
          <w:rFonts w:asciiTheme="majorHAnsi" w:hAnsiTheme="majorHAnsi"/>
          <w:bCs/>
          <w:color w:val="7F7F7F" w:themeColor="text1" w:themeTint="80"/>
          <w:sz w:val="14"/>
          <w:szCs w:val="20"/>
        </w:rPr>
      </w:pPr>
      <w:r w:rsidRPr="00DA46DB">
        <w:rPr>
          <w:rFonts w:asciiTheme="majorHAnsi" w:hAnsiTheme="majorHAnsi"/>
          <w:bCs/>
          <w:i/>
          <w:color w:val="7F7F7F" w:themeColor="text1" w:themeTint="80"/>
          <w:sz w:val="14"/>
          <w:szCs w:val="20"/>
        </w:rPr>
        <w:t>Os RPPS devem estar adequados à Portaria nº 519, de 24 de Agosto de 2011 e suas alterações conforme Portarias nº 170, de 25 de Abril de 2012; nº 440, de 09 de Outubro de 2013 e nº 300 de 03 de Julho de 2015, além da Resolução CMN nº 3.922 de 25 de Novembro de 2010 e sua alteração conforme Resolução CMN nº 4.392 de 19 de Dezembro de 2014, que dispõem sobre as aplicações dos recursos financeiros dos Regimes Próprios de Previdência Social, instituídos pela União, Estados, Distrito Federal e Municípios e dá outras providências.</w:t>
      </w:r>
    </w:p>
    <w:p w:rsidR="00B50219" w:rsidRPr="001A464C" w:rsidRDefault="00B50219" w:rsidP="00B50219">
      <w:pPr>
        <w:spacing w:beforeLines="120" w:before="288"/>
        <w:jc w:val="both"/>
        <w:rPr>
          <w:rFonts w:asciiTheme="majorHAnsi" w:hAnsiTheme="majorHAnsi"/>
          <w:sz w:val="20"/>
          <w:szCs w:val="20"/>
        </w:rPr>
      </w:pPr>
    </w:p>
    <w:p w:rsidR="00D74CC1" w:rsidRPr="00B50219" w:rsidRDefault="00D74CC1" w:rsidP="00B50219"/>
    <w:sectPr w:rsidR="00D74CC1" w:rsidRPr="00B50219" w:rsidSect="001E25AE">
      <w:headerReference w:type="default" r:id="rId12"/>
      <w:footerReference w:type="default" r:id="rId13"/>
      <w:pgSz w:w="12240" w:h="15840"/>
      <w:pgMar w:top="1417" w:right="1701" w:bottom="1417"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D10" w:rsidRDefault="00583D10" w:rsidP="001E25AE">
      <w:r>
        <w:separator/>
      </w:r>
    </w:p>
  </w:endnote>
  <w:endnote w:type="continuationSeparator" w:id="0">
    <w:p w:rsidR="00583D10" w:rsidRDefault="00583D10" w:rsidP="001E2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59B" w:rsidRDefault="00F3659B">
    <w:pPr>
      <w:pStyle w:val="Rodap"/>
    </w:pPr>
    <w:r>
      <w:tab/>
      <w:t>_________________________________________________________________________</w:t>
    </w:r>
  </w:p>
  <w:p w:rsidR="00F3659B" w:rsidRPr="0078518A" w:rsidRDefault="00F3659B" w:rsidP="009E34C2">
    <w:pPr>
      <w:pStyle w:val="Rodap"/>
      <w:jc w:val="center"/>
      <w:rPr>
        <w:rFonts w:ascii="Arial" w:hAnsi="Arial" w:cs="Arial"/>
        <w:b/>
        <w:sz w:val="20"/>
        <w:szCs w:val="20"/>
      </w:rPr>
    </w:pPr>
    <w:r w:rsidRPr="0078518A">
      <w:rPr>
        <w:rFonts w:ascii="Arial" w:hAnsi="Arial" w:cs="Arial"/>
        <w:b/>
        <w:sz w:val="20"/>
        <w:szCs w:val="20"/>
      </w:rPr>
      <w:t>Av. João Aureliano, 911 - Centenário – Fone (35) 3826-6158</w:t>
    </w:r>
  </w:p>
  <w:p w:rsidR="00F3659B" w:rsidRPr="0078518A" w:rsidRDefault="00F3659B">
    <w:pPr>
      <w:pStyle w:val="Rodap"/>
      <w:jc w:val="center"/>
      <w:rPr>
        <w:rFonts w:ascii="Arial" w:hAnsi="Arial" w:cs="Arial"/>
        <w:b/>
        <w:sz w:val="20"/>
        <w:szCs w:val="20"/>
      </w:rPr>
    </w:pPr>
    <w:proofErr w:type="gramStart"/>
    <w:r w:rsidRPr="0078518A">
      <w:rPr>
        <w:rFonts w:ascii="Arial" w:hAnsi="Arial" w:cs="Arial"/>
        <w:b/>
        <w:sz w:val="20"/>
        <w:szCs w:val="20"/>
      </w:rPr>
      <w:t>e-mail</w:t>
    </w:r>
    <w:proofErr w:type="gramEnd"/>
    <w:r w:rsidRPr="0078518A">
      <w:rPr>
        <w:rFonts w:ascii="Arial" w:hAnsi="Arial" w:cs="Arial"/>
        <w:b/>
        <w:sz w:val="20"/>
        <w:szCs w:val="20"/>
      </w:rPr>
      <w:t xml:space="preserve"> - instlavrasprev@hotmail.com</w:t>
    </w:r>
  </w:p>
  <w:p w:rsidR="00F3659B" w:rsidRPr="0078518A" w:rsidRDefault="00F3659B">
    <w:pPr>
      <w:pStyle w:val="Rodap"/>
      <w:jc w:val="center"/>
      <w:rPr>
        <w:rFonts w:ascii="Arial" w:hAnsi="Arial" w:cs="Arial"/>
        <w:b/>
        <w:sz w:val="20"/>
        <w:szCs w:val="20"/>
      </w:rPr>
    </w:pPr>
    <w:r w:rsidRPr="0078518A">
      <w:rPr>
        <w:rFonts w:ascii="Arial" w:hAnsi="Arial" w:cs="Arial"/>
        <w:b/>
        <w:sz w:val="20"/>
        <w:szCs w:val="20"/>
      </w:rPr>
      <w:t>37200-</w:t>
    </w:r>
    <w:proofErr w:type="gramStart"/>
    <w:r w:rsidRPr="0078518A">
      <w:rPr>
        <w:rFonts w:ascii="Arial" w:hAnsi="Arial" w:cs="Arial"/>
        <w:b/>
        <w:sz w:val="20"/>
        <w:szCs w:val="20"/>
      </w:rPr>
      <w:t>00</w:t>
    </w:r>
    <w:r>
      <w:rPr>
        <w:rFonts w:ascii="Arial" w:hAnsi="Arial" w:cs="Arial"/>
        <w:b/>
        <w:sz w:val="20"/>
        <w:szCs w:val="20"/>
      </w:rPr>
      <w:t>0  Lavras</w:t>
    </w:r>
    <w:proofErr w:type="gramEnd"/>
    <w:r>
      <w:rPr>
        <w:rFonts w:ascii="Arial" w:hAnsi="Arial" w:cs="Arial"/>
        <w:b/>
        <w:sz w:val="20"/>
        <w:szCs w:val="20"/>
      </w:rPr>
      <w:t>/</w:t>
    </w:r>
    <w:r w:rsidRPr="0078518A">
      <w:rPr>
        <w:rFonts w:ascii="Arial" w:hAnsi="Arial" w:cs="Arial"/>
        <w:b/>
        <w:sz w:val="20"/>
        <w:szCs w:val="20"/>
      </w:rPr>
      <w:t>MG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D10" w:rsidRDefault="00583D10" w:rsidP="001E25AE">
      <w:r>
        <w:separator/>
      </w:r>
    </w:p>
  </w:footnote>
  <w:footnote w:type="continuationSeparator" w:id="0">
    <w:p w:rsidR="00583D10" w:rsidRDefault="00583D10" w:rsidP="001E2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59B" w:rsidRDefault="00F3659B">
    <w:pPr>
      <w:pStyle w:val="Cabealho"/>
      <w:jc w:val="center"/>
      <w:rPr>
        <w:rFonts w:ascii="Verdana" w:hAnsi="Verdana"/>
        <w:b/>
        <w:sz w:val="20"/>
        <w:szCs w:val="20"/>
        <w:u w:val="single"/>
      </w:rPr>
    </w:pPr>
    <w:r>
      <w:rPr>
        <w:rFonts w:ascii="Verdana" w:hAnsi="Verdana"/>
        <w:b/>
        <w:noProof/>
        <w:sz w:val="20"/>
        <w:szCs w:val="20"/>
        <w:u w:val="single"/>
      </w:rPr>
      <w:drawing>
        <wp:anchor distT="0" distB="0" distL="114300" distR="114300" simplePos="0" relativeHeight="251660288" behindDoc="0" locked="0" layoutInCell="1" allowOverlap="1">
          <wp:simplePos x="0" y="0"/>
          <wp:positionH relativeFrom="column">
            <wp:posOffset>34290</wp:posOffset>
          </wp:positionH>
          <wp:positionV relativeFrom="paragraph">
            <wp:posOffset>84455</wp:posOffset>
          </wp:positionV>
          <wp:extent cx="704850" cy="70485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pic:spPr>
              </pic:pic>
            </a:graphicData>
          </a:graphic>
          <wp14:sizeRelH relativeFrom="page">
            <wp14:pctWidth>0</wp14:pctWidth>
          </wp14:sizeRelH>
          <wp14:sizeRelV relativeFrom="page">
            <wp14:pctHeight>0</wp14:pctHeight>
          </wp14:sizeRelV>
        </wp:anchor>
      </w:drawing>
    </w:r>
  </w:p>
  <w:p w:rsidR="00F3659B" w:rsidRPr="001E25AE" w:rsidRDefault="00F3659B">
    <w:pPr>
      <w:pStyle w:val="Cabealho"/>
      <w:jc w:val="center"/>
      <w:rPr>
        <w:rFonts w:ascii="Arial" w:hAnsi="Arial" w:cs="Arial"/>
        <w:b/>
        <w:sz w:val="22"/>
        <w:szCs w:val="22"/>
      </w:rPr>
    </w:pPr>
    <w:r w:rsidRPr="001E25AE">
      <w:rPr>
        <w:rFonts w:ascii="Arial" w:hAnsi="Arial" w:cs="Arial"/>
        <w:b/>
        <w:sz w:val="22"/>
        <w:szCs w:val="22"/>
      </w:rPr>
      <w:t>INSTITUTO DE PREVIDÊNCIA MUNICIPAL DE LAVRAS</w:t>
    </w:r>
  </w:p>
  <w:p w:rsidR="00F3659B" w:rsidRPr="001E25AE" w:rsidRDefault="00F3659B">
    <w:pPr>
      <w:pStyle w:val="Cabealho"/>
      <w:jc w:val="center"/>
      <w:rPr>
        <w:rFonts w:ascii="Arial" w:hAnsi="Arial" w:cs="Arial"/>
        <w:b/>
        <w:sz w:val="22"/>
        <w:szCs w:val="22"/>
      </w:rPr>
    </w:pPr>
    <w:r w:rsidRPr="001E25AE">
      <w:rPr>
        <w:rFonts w:ascii="Arial" w:hAnsi="Arial" w:cs="Arial"/>
        <w:b/>
        <w:sz w:val="22"/>
        <w:szCs w:val="22"/>
      </w:rPr>
      <w:t>LAVRASPREV</w:t>
    </w:r>
  </w:p>
  <w:p w:rsidR="00F3659B" w:rsidRPr="001E25AE" w:rsidRDefault="00F3659B">
    <w:pPr>
      <w:pStyle w:val="Cabealho"/>
      <w:jc w:val="center"/>
      <w:rPr>
        <w:rFonts w:ascii="Arial" w:hAnsi="Arial" w:cs="Arial"/>
        <w:b/>
        <w:sz w:val="22"/>
        <w:szCs w:val="22"/>
      </w:rPr>
    </w:pPr>
    <w:r w:rsidRPr="001E25AE">
      <w:rPr>
        <w:rFonts w:ascii="Arial" w:hAnsi="Arial" w:cs="Arial"/>
        <w:b/>
        <w:sz w:val="22"/>
        <w:szCs w:val="22"/>
      </w:rPr>
      <w:t>ESTADO DE MINAS GERAIS</w:t>
    </w:r>
  </w:p>
  <w:p w:rsidR="00F3659B" w:rsidRPr="001E25AE" w:rsidRDefault="00F3659B">
    <w:pPr>
      <w:pStyle w:val="Cabealho"/>
      <w:pBdr>
        <w:bottom w:val="single" w:sz="6" w:space="1" w:color="auto"/>
      </w:pBdr>
      <w:jc w:val="center"/>
      <w:rPr>
        <w:rFonts w:ascii="Arial" w:hAnsi="Arial" w:cs="Arial"/>
        <w:b/>
        <w:sz w:val="22"/>
        <w:szCs w:val="22"/>
      </w:rPr>
    </w:pPr>
    <w:r w:rsidRPr="001E25AE">
      <w:rPr>
        <w:rFonts w:ascii="Arial" w:hAnsi="Arial" w:cs="Arial"/>
        <w:b/>
        <w:sz w:val="22"/>
        <w:szCs w:val="22"/>
      </w:rPr>
      <w:t>CNPJ: 05.319.747/0001-20</w:t>
    </w:r>
  </w:p>
  <w:p w:rsidR="00F3659B" w:rsidRDefault="00F3659B">
    <w:pPr>
      <w:pStyle w:val="Cabealho"/>
      <w:jc w:val="center"/>
      <w:rPr>
        <w:rFonts w:ascii="Verdana" w:hAnsi="Verdana"/>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E04E6"/>
    <w:multiLevelType w:val="hybridMultilevel"/>
    <w:tmpl w:val="3A08CB3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4031D12"/>
    <w:multiLevelType w:val="hybridMultilevel"/>
    <w:tmpl w:val="02386C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410183E"/>
    <w:multiLevelType w:val="hybridMultilevel"/>
    <w:tmpl w:val="83586868"/>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3">
    <w:nsid w:val="06BB6D37"/>
    <w:multiLevelType w:val="multilevel"/>
    <w:tmpl w:val="4D20367C"/>
    <w:lvl w:ilvl="0">
      <w:start w:val="1"/>
      <w:numFmt w:val="decimal"/>
      <w:lvlText w:val="%1."/>
      <w:lvlJc w:val="left"/>
      <w:pPr>
        <w:ind w:left="720" w:hanging="360"/>
      </w:pPr>
      <w:rPr>
        <w:rFonts w:hint="default"/>
      </w:rPr>
    </w:lvl>
    <w:lvl w:ilvl="1">
      <w:start w:val="1"/>
      <w:numFmt w:val="decimal"/>
      <w:isLgl/>
      <w:lvlText w:val="%1.%2"/>
      <w:lvlJc w:val="left"/>
      <w:pPr>
        <w:ind w:left="943"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0DCF6C13"/>
    <w:multiLevelType w:val="hybridMultilevel"/>
    <w:tmpl w:val="D6982488"/>
    <w:lvl w:ilvl="0" w:tplc="D5C20464">
      <w:start w:val="1"/>
      <w:numFmt w:val="bullet"/>
      <w:lvlText w:val="•"/>
      <w:lvlJc w:val="left"/>
      <w:pPr>
        <w:tabs>
          <w:tab w:val="num" w:pos="720"/>
        </w:tabs>
        <w:ind w:left="720" w:hanging="360"/>
      </w:pPr>
      <w:rPr>
        <w:rFonts w:ascii="Arial" w:hAnsi="Arial" w:hint="default"/>
      </w:rPr>
    </w:lvl>
    <w:lvl w:ilvl="1" w:tplc="C422FD3E" w:tentative="1">
      <w:start w:val="1"/>
      <w:numFmt w:val="bullet"/>
      <w:lvlText w:val="•"/>
      <w:lvlJc w:val="left"/>
      <w:pPr>
        <w:tabs>
          <w:tab w:val="num" w:pos="1440"/>
        </w:tabs>
        <w:ind w:left="1440" w:hanging="360"/>
      </w:pPr>
      <w:rPr>
        <w:rFonts w:ascii="Arial" w:hAnsi="Arial" w:hint="default"/>
      </w:rPr>
    </w:lvl>
    <w:lvl w:ilvl="2" w:tplc="BF4437B8" w:tentative="1">
      <w:start w:val="1"/>
      <w:numFmt w:val="bullet"/>
      <w:lvlText w:val="•"/>
      <w:lvlJc w:val="left"/>
      <w:pPr>
        <w:tabs>
          <w:tab w:val="num" w:pos="2160"/>
        </w:tabs>
        <w:ind w:left="2160" w:hanging="360"/>
      </w:pPr>
      <w:rPr>
        <w:rFonts w:ascii="Arial" w:hAnsi="Arial" w:hint="default"/>
      </w:rPr>
    </w:lvl>
    <w:lvl w:ilvl="3" w:tplc="F6280244" w:tentative="1">
      <w:start w:val="1"/>
      <w:numFmt w:val="bullet"/>
      <w:lvlText w:val="•"/>
      <w:lvlJc w:val="left"/>
      <w:pPr>
        <w:tabs>
          <w:tab w:val="num" w:pos="2880"/>
        </w:tabs>
        <w:ind w:left="2880" w:hanging="360"/>
      </w:pPr>
      <w:rPr>
        <w:rFonts w:ascii="Arial" w:hAnsi="Arial" w:hint="default"/>
      </w:rPr>
    </w:lvl>
    <w:lvl w:ilvl="4" w:tplc="5AB2F98A" w:tentative="1">
      <w:start w:val="1"/>
      <w:numFmt w:val="bullet"/>
      <w:lvlText w:val="•"/>
      <w:lvlJc w:val="left"/>
      <w:pPr>
        <w:tabs>
          <w:tab w:val="num" w:pos="3600"/>
        </w:tabs>
        <w:ind w:left="3600" w:hanging="360"/>
      </w:pPr>
      <w:rPr>
        <w:rFonts w:ascii="Arial" w:hAnsi="Arial" w:hint="default"/>
      </w:rPr>
    </w:lvl>
    <w:lvl w:ilvl="5" w:tplc="F06623A8" w:tentative="1">
      <w:start w:val="1"/>
      <w:numFmt w:val="bullet"/>
      <w:lvlText w:val="•"/>
      <w:lvlJc w:val="left"/>
      <w:pPr>
        <w:tabs>
          <w:tab w:val="num" w:pos="4320"/>
        </w:tabs>
        <w:ind w:left="4320" w:hanging="360"/>
      </w:pPr>
      <w:rPr>
        <w:rFonts w:ascii="Arial" w:hAnsi="Arial" w:hint="default"/>
      </w:rPr>
    </w:lvl>
    <w:lvl w:ilvl="6" w:tplc="6882B74C" w:tentative="1">
      <w:start w:val="1"/>
      <w:numFmt w:val="bullet"/>
      <w:lvlText w:val="•"/>
      <w:lvlJc w:val="left"/>
      <w:pPr>
        <w:tabs>
          <w:tab w:val="num" w:pos="5040"/>
        </w:tabs>
        <w:ind w:left="5040" w:hanging="360"/>
      </w:pPr>
      <w:rPr>
        <w:rFonts w:ascii="Arial" w:hAnsi="Arial" w:hint="default"/>
      </w:rPr>
    </w:lvl>
    <w:lvl w:ilvl="7" w:tplc="8A5EE106" w:tentative="1">
      <w:start w:val="1"/>
      <w:numFmt w:val="bullet"/>
      <w:lvlText w:val="•"/>
      <w:lvlJc w:val="left"/>
      <w:pPr>
        <w:tabs>
          <w:tab w:val="num" w:pos="5760"/>
        </w:tabs>
        <w:ind w:left="5760" w:hanging="360"/>
      </w:pPr>
      <w:rPr>
        <w:rFonts w:ascii="Arial" w:hAnsi="Arial" w:hint="default"/>
      </w:rPr>
    </w:lvl>
    <w:lvl w:ilvl="8" w:tplc="62B65384" w:tentative="1">
      <w:start w:val="1"/>
      <w:numFmt w:val="bullet"/>
      <w:lvlText w:val="•"/>
      <w:lvlJc w:val="left"/>
      <w:pPr>
        <w:tabs>
          <w:tab w:val="num" w:pos="6480"/>
        </w:tabs>
        <w:ind w:left="6480" w:hanging="360"/>
      </w:pPr>
      <w:rPr>
        <w:rFonts w:ascii="Arial" w:hAnsi="Arial" w:hint="default"/>
      </w:rPr>
    </w:lvl>
  </w:abstractNum>
  <w:abstractNum w:abstractNumId="5">
    <w:nsid w:val="10AC4C1D"/>
    <w:multiLevelType w:val="hybridMultilevel"/>
    <w:tmpl w:val="4D0A11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2A62414"/>
    <w:multiLevelType w:val="hybridMultilevel"/>
    <w:tmpl w:val="88361032"/>
    <w:lvl w:ilvl="0" w:tplc="8BFCC08E">
      <w:start w:val="1"/>
      <w:numFmt w:val="bullet"/>
      <w:lvlText w:val="•"/>
      <w:lvlJc w:val="left"/>
      <w:pPr>
        <w:tabs>
          <w:tab w:val="num" w:pos="360"/>
        </w:tabs>
        <w:ind w:left="360" w:hanging="360"/>
      </w:pPr>
      <w:rPr>
        <w:rFonts w:ascii="Arial" w:hAnsi="Arial" w:hint="default"/>
      </w:rPr>
    </w:lvl>
    <w:lvl w:ilvl="1" w:tplc="B76C1EBE">
      <w:start w:val="36"/>
      <w:numFmt w:val="bullet"/>
      <w:lvlText w:val=""/>
      <w:lvlJc w:val="left"/>
      <w:pPr>
        <w:tabs>
          <w:tab w:val="num" w:pos="1080"/>
        </w:tabs>
        <w:ind w:left="1080" w:hanging="360"/>
      </w:pPr>
      <w:rPr>
        <w:rFonts w:ascii="Wingdings" w:hAnsi="Wingdings" w:hint="default"/>
      </w:rPr>
    </w:lvl>
    <w:lvl w:ilvl="2" w:tplc="B1E2D19C" w:tentative="1">
      <w:start w:val="1"/>
      <w:numFmt w:val="bullet"/>
      <w:lvlText w:val="•"/>
      <w:lvlJc w:val="left"/>
      <w:pPr>
        <w:tabs>
          <w:tab w:val="num" w:pos="1800"/>
        </w:tabs>
        <w:ind w:left="1800" w:hanging="360"/>
      </w:pPr>
      <w:rPr>
        <w:rFonts w:ascii="Arial" w:hAnsi="Arial" w:hint="default"/>
      </w:rPr>
    </w:lvl>
    <w:lvl w:ilvl="3" w:tplc="D5E2F366" w:tentative="1">
      <w:start w:val="1"/>
      <w:numFmt w:val="bullet"/>
      <w:lvlText w:val="•"/>
      <w:lvlJc w:val="left"/>
      <w:pPr>
        <w:tabs>
          <w:tab w:val="num" w:pos="2520"/>
        </w:tabs>
        <w:ind w:left="2520" w:hanging="360"/>
      </w:pPr>
      <w:rPr>
        <w:rFonts w:ascii="Arial" w:hAnsi="Arial" w:hint="default"/>
      </w:rPr>
    </w:lvl>
    <w:lvl w:ilvl="4" w:tplc="47AAC38A" w:tentative="1">
      <w:start w:val="1"/>
      <w:numFmt w:val="bullet"/>
      <w:lvlText w:val="•"/>
      <w:lvlJc w:val="left"/>
      <w:pPr>
        <w:tabs>
          <w:tab w:val="num" w:pos="3240"/>
        </w:tabs>
        <w:ind w:left="3240" w:hanging="360"/>
      </w:pPr>
      <w:rPr>
        <w:rFonts w:ascii="Arial" w:hAnsi="Arial" w:hint="default"/>
      </w:rPr>
    </w:lvl>
    <w:lvl w:ilvl="5" w:tplc="0092336C" w:tentative="1">
      <w:start w:val="1"/>
      <w:numFmt w:val="bullet"/>
      <w:lvlText w:val="•"/>
      <w:lvlJc w:val="left"/>
      <w:pPr>
        <w:tabs>
          <w:tab w:val="num" w:pos="3960"/>
        </w:tabs>
        <w:ind w:left="3960" w:hanging="360"/>
      </w:pPr>
      <w:rPr>
        <w:rFonts w:ascii="Arial" w:hAnsi="Arial" w:hint="default"/>
      </w:rPr>
    </w:lvl>
    <w:lvl w:ilvl="6" w:tplc="1DAEF0FA" w:tentative="1">
      <w:start w:val="1"/>
      <w:numFmt w:val="bullet"/>
      <w:lvlText w:val="•"/>
      <w:lvlJc w:val="left"/>
      <w:pPr>
        <w:tabs>
          <w:tab w:val="num" w:pos="4680"/>
        </w:tabs>
        <w:ind w:left="4680" w:hanging="360"/>
      </w:pPr>
      <w:rPr>
        <w:rFonts w:ascii="Arial" w:hAnsi="Arial" w:hint="default"/>
      </w:rPr>
    </w:lvl>
    <w:lvl w:ilvl="7" w:tplc="3A5678E8" w:tentative="1">
      <w:start w:val="1"/>
      <w:numFmt w:val="bullet"/>
      <w:lvlText w:val="•"/>
      <w:lvlJc w:val="left"/>
      <w:pPr>
        <w:tabs>
          <w:tab w:val="num" w:pos="5400"/>
        </w:tabs>
        <w:ind w:left="5400" w:hanging="360"/>
      </w:pPr>
      <w:rPr>
        <w:rFonts w:ascii="Arial" w:hAnsi="Arial" w:hint="default"/>
      </w:rPr>
    </w:lvl>
    <w:lvl w:ilvl="8" w:tplc="C608CB92" w:tentative="1">
      <w:start w:val="1"/>
      <w:numFmt w:val="bullet"/>
      <w:lvlText w:val="•"/>
      <w:lvlJc w:val="left"/>
      <w:pPr>
        <w:tabs>
          <w:tab w:val="num" w:pos="6120"/>
        </w:tabs>
        <w:ind w:left="6120" w:hanging="360"/>
      </w:pPr>
      <w:rPr>
        <w:rFonts w:ascii="Arial" w:hAnsi="Arial" w:hint="default"/>
      </w:rPr>
    </w:lvl>
  </w:abstractNum>
  <w:abstractNum w:abstractNumId="7">
    <w:nsid w:val="169F1067"/>
    <w:multiLevelType w:val="hybridMultilevel"/>
    <w:tmpl w:val="BF6C07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4A5768F"/>
    <w:multiLevelType w:val="hybridMultilevel"/>
    <w:tmpl w:val="EA321362"/>
    <w:lvl w:ilvl="0" w:tplc="BE544F26">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nsid w:val="25380584"/>
    <w:multiLevelType w:val="hybridMultilevel"/>
    <w:tmpl w:val="D33AE388"/>
    <w:lvl w:ilvl="0" w:tplc="0416000F">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0">
    <w:nsid w:val="2C015603"/>
    <w:multiLevelType w:val="hybridMultilevel"/>
    <w:tmpl w:val="72C097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07D5DCE"/>
    <w:multiLevelType w:val="hybridMultilevel"/>
    <w:tmpl w:val="BE9A8FD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8E02893"/>
    <w:multiLevelType w:val="multilevel"/>
    <w:tmpl w:val="9C1C5D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B172B54"/>
    <w:multiLevelType w:val="hybridMultilevel"/>
    <w:tmpl w:val="DA489F4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nsid w:val="3C484466"/>
    <w:multiLevelType w:val="hybridMultilevel"/>
    <w:tmpl w:val="69A2C8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4DC79C9"/>
    <w:multiLevelType w:val="hybridMultilevel"/>
    <w:tmpl w:val="C212D5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A4E5EFF"/>
    <w:multiLevelType w:val="hybridMultilevel"/>
    <w:tmpl w:val="17B492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BFA77FE"/>
    <w:multiLevelType w:val="hybridMultilevel"/>
    <w:tmpl w:val="4F48D63E"/>
    <w:lvl w:ilvl="0" w:tplc="9B5456B8">
      <w:start w:val="1"/>
      <w:numFmt w:val="bullet"/>
      <w:lvlText w:val="•"/>
      <w:lvlJc w:val="left"/>
      <w:pPr>
        <w:tabs>
          <w:tab w:val="num" w:pos="720"/>
        </w:tabs>
        <w:ind w:left="720" w:hanging="360"/>
      </w:pPr>
      <w:rPr>
        <w:rFonts w:ascii="Arial" w:hAnsi="Arial" w:hint="default"/>
      </w:rPr>
    </w:lvl>
    <w:lvl w:ilvl="1" w:tplc="2D242222" w:tentative="1">
      <w:start w:val="1"/>
      <w:numFmt w:val="bullet"/>
      <w:lvlText w:val="•"/>
      <w:lvlJc w:val="left"/>
      <w:pPr>
        <w:tabs>
          <w:tab w:val="num" w:pos="1440"/>
        </w:tabs>
        <w:ind w:left="1440" w:hanging="360"/>
      </w:pPr>
      <w:rPr>
        <w:rFonts w:ascii="Arial" w:hAnsi="Arial" w:hint="default"/>
      </w:rPr>
    </w:lvl>
    <w:lvl w:ilvl="2" w:tplc="E6D06EAA" w:tentative="1">
      <w:start w:val="1"/>
      <w:numFmt w:val="bullet"/>
      <w:lvlText w:val="•"/>
      <w:lvlJc w:val="left"/>
      <w:pPr>
        <w:tabs>
          <w:tab w:val="num" w:pos="2160"/>
        </w:tabs>
        <w:ind w:left="2160" w:hanging="360"/>
      </w:pPr>
      <w:rPr>
        <w:rFonts w:ascii="Arial" w:hAnsi="Arial" w:hint="default"/>
      </w:rPr>
    </w:lvl>
    <w:lvl w:ilvl="3" w:tplc="04B4B2CE" w:tentative="1">
      <w:start w:val="1"/>
      <w:numFmt w:val="bullet"/>
      <w:lvlText w:val="•"/>
      <w:lvlJc w:val="left"/>
      <w:pPr>
        <w:tabs>
          <w:tab w:val="num" w:pos="2880"/>
        </w:tabs>
        <w:ind w:left="2880" w:hanging="360"/>
      </w:pPr>
      <w:rPr>
        <w:rFonts w:ascii="Arial" w:hAnsi="Arial" w:hint="default"/>
      </w:rPr>
    </w:lvl>
    <w:lvl w:ilvl="4" w:tplc="4038F780" w:tentative="1">
      <w:start w:val="1"/>
      <w:numFmt w:val="bullet"/>
      <w:lvlText w:val="•"/>
      <w:lvlJc w:val="left"/>
      <w:pPr>
        <w:tabs>
          <w:tab w:val="num" w:pos="3600"/>
        </w:tabs>
        <w:ind w:left="3600" w:hanging="360"/>
      </w:pPr>
      <w:rPr>
        <w:rFonts w:ascii="Arial" w:hAnsi="Arial" w:hint="default"/>
      </w:rPr>
    </w:lvl>
    <w:lvl w:ilvl="5" w:tplc="6E82E964" w:tentative="1">
      <w:start w:val="1"/>
      <w:numFmt w:val="bullet"/>
      <w:lvlText w:val="•"/>
      <w:lvlJc w:val="left"/>
      <w:pPr>
        <w:tabs>
          <w:tab w:val="num" w:pos="4320"/>
        </w:tabs>
        <w:ind w:left="4320" w:hanging="360"/>
      </w:pPr>
      <w:rPr>
        <w:rFonts w:ascii="Arial" w:hAnsi="Arial" w:hint="default"/>
      </w:rPr>
    </w:lvl>
    <w:lvl w:ilvl="6" w:tplc="33746DFA" w:tentative="1">
      <w:start w:val="1"/>
      <w:numFmt w:val="bullet"/>
      <w:lvlText w:val="•"/>
      <w:lvlJc w:val="left"/>
      <w:pPr>
        <w:tabs>
          <w:tab w:val="num" w:pos="5040"/>
        </w:tabs>
        <w:ind w:left="5040" w:hanging="360"/>
      </w:pPr>
      <w:rPr>
        <w:rFonts w:ascii="Arial" w:hAnsi="Arial" w:hint="default"/>
      </w:rPr>
    </w:lvl>
    <w:lvl w:ilvl="7" w:tplc="69DA642C" w:tentative="1">
      <w:start w:val="1"/>
      <w:numFmt w:val="bullet"/>
      <w:lvlText w:val="•"/>
      <w:lvlJc w:val="left"/>
      <w:pPr>
        <w:tabs>
          <w:tab w:val="num" w:pos="5760"/>
        </w:tabs>
        <w:ind w:left="5760" w:hanging="360"/>
      </w:pPr>
      <w:rPr>
        <w:rFonts w:ascii="Arial" w:hAnsi="Arial" w:hint="default"/>
      </w:rPr>
    </w:lvl>
    <w:lvl w:ilvl="8" w:tplc="83CA40EA" w:tentative="1">
      <w:start w:val="1"/>
      <w:numFmt w:val="bullet"/>
      <w:lvlText w:val="•"/>
      <w:lvlJc w:val="left"/>
      <w:pPr>
        <w:tabs>
          <w:tab w:val="num" w:pos="6480"/>
        </w:tabs>
        <w:ind w:left="6480" w:hanging="360"/>
      </w:pPr>
      <w:rPr>
        <w:rFonts w:ascii="Arial" w:hAnsi="Arial" w:hint="default"/>
      </w:rPr>
    </w:lvl>
  </w:abstractNum>
  <w:abstractNum w:abstractNumId="18">
    <w:nsid w:val="4E2D48AE"/>
    <w:multiLevelType w:val="hybridMultilevel"/>
    <w:tmpl w:val="1EB2F140"/>
    <w:lvl w:ilvl="0" w:tplc="04160001">
      <w:start w:val="1"/>
      <w:numFmt w:val="bullet"/>
      <w:lvlText w:val=""/>
      <w:lvlJc w:val="left"/>
      <w:pPr>
        <w:ind w:left="1776" w:hanging="360"/>
      </w:pPr>
      <w:rPr>
        <w:rFonts w:ascii="Symbol" w:hAnsi="Symbol"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19">
    <w:nsid w:val="4FAE0185"/>
    <w:multiLevelType w:val="hybridMultilevel"/>
    <w:tmpl w:val="110660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0B97CCC"/>
    <w:multiLevelType w:val="hybridMultilevel"/>
    <w:tmpl w:val="CFDA65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33151A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38B45C7"/>
    <w:multiLevelType w:val="hybridMultilevel"/>
    <w:tmpl w:val="69BA92EE"/>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23">
    <w:nsid w:val="5515612F"/>
    <w:multiLevelType w:val="hybridMultilevel"/>
    <w:tmpl w:val="226268B2"/>
    <w:lvl w:ilvl="0" w:tplc="033690E2">
      <w:start w:val="1"/>
      <w:numFmt w:val="bullet"/>
      <w:lvlText w:val="•"/>
      <w:lvlJc w:val="left"/>
      <w:pPr>
        <w:tabs>
          <w:tab w:val="num" w:pos="720"/>
        </w:tabs>
        <w:ind w:left="720" w:hanging="360"/>
      </w:pPr>
      <w:rPr>
        <w:rFonts w:ascii="Arial" w:hAnsi="Arial" w:hint="default"/>
      </w:rPr>
    </w:lvl>
    <w:lvl w:ilvl="1" w:tplc="D760FE6A" w:tentative="1">
      <w:start w:val="1"/>
      <w:numFmt w:val="bullet"/>
      <w:lvlText w:val="•"/>
      <w:lvlJc w:val="left"/>
      <w:pPr>
        <w:tabs>
          <w:tab w:val="num" w:pos="1440"/>
        </w:tabs>
        <w:ind w:left="1440" w:hanging="360"/>
      </w:pPr>
      <w:rPr>
        <w:rFonts w:ascii="Arial" w:hAnsi="Arial" w:hint="default"/>
      </w:rPr>
    </w:lvl>
    <w:lvl w:ilvl="2" w:tplc="F6E43442" w:tentative="1">
      <w:start w:val="1"/>
      <w:numFmt w:val="bullet"/>
      <w:lvlText w:val="•"/>
      <w:lvlJc w:val="left"/>
      <w:pPr>
        <w:tabs>
          <w:tab w:val="num" w:pos="2160"/>
        </w:tabs>
        <w:ind w:left="2160" w:hanging="360"/>
      </w:pPr>
      <w:rPr>
        <w:rFonts w:ascii="Arial" w:hAnsi="Arial" w:hint="default"/>
      </w:rPr>
    </w:lvl>
    <w:lvl w:ilvl="3" w:tplc="1AB29F4E" w:tentative="1">
      <w:start w:val="1"/>
      <w:numFmt w:val="bullet"/>
      <w:lvlText w:val="•"/>
      <w:lvlJc w:val="left"/>
      <w:pPr>
        <w:tabs>
          <w:tab w:val="num" w:pos="2880"/>
        </w:tabs>
        <w:ind w:left="2880" w:hanging="360"/>
      </w:pPr>
      <w:rPr>
        <w:rFonts w:ascii="Arial" w:hAnsi="Arial" w:hint="default"/>
      </w:rPr>
    </w:lvl>
    <w:lvl w:ilvl="4" w:tplc="FEFC936C" w:tentative="1">
      <w:start w:val="1"/>
      <w:numFmt w:val="bullet"/>
      <w:lvlText w:val="•"/>
      <w:lvlJc w:val="left"/>
      <w:pPr>
        <w:tabs>
          <w:tab w:val="num" w:pos="3600"/>
        </w:tabs>
        <w:ind w:left="3600" w:hanging="360"/>
      </w:pPr>
      <w:rPr>
        <w:rFonts w:ascii="Arial" w:hAnsi="Arial" w:hint="default"/>
      </w:rPr>
    </w:lvl>
    <w:lvl w:ilvl="5" w:tplc="32565DDA" w:tentative="1">
      <w:start w:val="1"/>
      <w:numFmt w:val="bullet"/>
      <w:lvlText w:val="•"/>
      <w:lvlJc w:val="left"/>
      <w:pPr>
        <w:tabs>
          <w:tab w:val="num" w:pos="4320"/>
        </w:tabs>
        <w:ind w:left="4320" w:hanging="360"/>
      </w:pPr>
      <w:rPr>
        <w:rFonts w:ascii="Arial" w:hAnsi="Arial" w:hint="default"/>
      </w:rPr>
    </w:lvl>
    <w:lvl w:ilvl="6" w:tplc="CAA4885C" w:tentative="1">
      <w:start w:val="1"/>
      <w:numFmt w:val="bullet"/>
      <w:lvlText w:val="•"/>
      <w:lvlJc w:val="left"/>
      <w:pPr>
        <w:tabs>
          <w:tab w:val="num" w:pos="5040"/>
        </w:tabs>
        <w:ind w:left="5040" w:hanging="360"/>
      </w:pPr>
      <w:rPr>
        <w:rFonts w:ascii="Arial" w:hAnsi="Arial" w:hint="default"/>
      </w:rPr>
    </w:lvl>
    <w:lvl w:ilvl="7" w:tplc="99F27832" w:tentative="1">
      <w:start w:val="1"/>
      <w:numFmt w:val="bullet"/>
      <w:lvlText w:val="•"/>
      <w:lvlJc w:val="left"/>
      <w:pPr>
        <w:tabs>
          <w:tab w:val="num" w:pos="5760"/>
        </w:tabs>
        <w:ind w:left="5760" w:hanging="360"/>
      </w:pPr>
      <w:rPr>
        <w:rFonts w:ascii="Arial" w:hAnsi="Arial" w:hint="default"/>
      </w:rPr>
    </w:lvl>
    <w:lvl w:ilvl="8" w:tplc="A63E4C58" w:tentative="1">
      <w:start w:val="1"/>
      <w:numFmt w:val="bullet"/>
      <w:lvlText w:val="•"/>
      <w:lvlJc w:val="left"/>
      <w:pPr>
        <w:tabs>
          <w:tab w:val="num" w:pos="6480"/>
        </w:tabs>
        <w:ind w:left="6480" w:hanging="360"/>
      </w:pPr>
      <w:rPr>
        <w:rFonts w:ascii="Arial" w:hAnsi="Arial" w:hint="default"/>
      </w:rPr>
    </w:lvl>
  </w:abstractNum>
  <w:abstractNum w:abstractNumId="24">
    <w:nsid w:val="554508FA"/>
    <w:multiLevelType w:val="hybridMultilevel"/>
    <w:tmpl w:val="40FEAA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8CE3157"/>
    <w:multiLevelType w:val="multilevel"/>
    <w:tmpl w:val="3698BBA6"/>
    <w:lvl w:ilvl="0">
      <w:start w:val="3"/>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5DFD09D3"/>
    <w:multiLevelType w:val="hybridMultilevel"/>
    <w:tmpl w:val="374E0298"/>
    <w:lvl w:ilvl="0" w:tplc="0416000F">
      <w:start w:val="1"/>
      <w:numFmt w:val="decimal"/>
      <w:lvlText w:val="%1."/>
      <w:lvlJc w:val="left"/>
      <w:pPr>
        <w:ind w:left="766" w:hanging="360"/>
      </w:pPr>
    </w:lvl>
    <w:lvl w:ilvl="1" w:tplc="04160019" w:tentative="1">
      <w:start w:val="1"/>
      <w:numFmt w:val="lowerLetter"/>
      <w:lvlText w:val="%2."/>
      <w:lvlJc w:val="left"/>
      <w:pPr>
        <w:ind w:left="1486" w:hanging="360"/>
      </w:pPr>
    </w:lvl>
    <w:lvl w:ilvl="2" w:tplc="0416001B" w:tentative="1">
      <w:start w:val="1"/>
      <w:numFmt w:val="lowerRoman"/>
      <w:lvlText w:val="%3."/>
      <w:lvlJc w:val="right"/>
      <w:pPr>
        <w:ind w:left="2206" w:hanging="180"/>
      </w:pPr>
    </w:lvl>
    <w:lvl w:ilvl="3" w:tplc="0416000F" w:tentative="1">
      <w:start w:val="1"/>
      <w:numFmt w:val="decimal"/>
      <w:lvlText w:val="%4."/>
      <w:lvlJc w:val="left"/>
      <w:pPr>
        <w:ind w:left="2926" w:hanging="360"/>
      </w:pPr>
    </w:lvl>
    <w:lvl w:ilvl="4" w:tplc="04160019" w:tentative="1">
      <w:start w:val="1"/>
      <w:numFmt w:val="lowerLetter"/>
      <w:lvlText w:val="%5."/>
      <w:lvlJc w:val="left"/>
      <w:pPr>
        <w:ind w:left="3646" w:hanging="360"/>
      </w:pPr>
    </w:lvl>
    <w:lvl w:ilvl="5" w:tplc="0416001B" w:tentative="1">
      <w:start w:val="1"/>
      <w:numFmt w:val="lowerRoman"/>
      <w:lvlText w:val="%6."/>
      <w:lvlJc w:val="right"/>
      <w:pPr>
        <w:ind w:left="4366" w:hanging="180"/>
      </w:pPr>
    </w:lvl>
    <w:lvl w:ilvl="6" w:tplc="0416000F" w:tentative="1">
      <w:start w:val="1"/>
      <w:numFmt w:val="decimal"/>
      <w:lvlText w:val="%7."/>
      <w:lvlJc w:val="left"/>
      <w:pPr>
        <w:ind w:left="5086" w:hanging="360"/>
      </w:pPr>
    </w:lvl>
    <w:lvl w:ilvl="7" w:tplc="04160019" w:tentative="1">
      <w:start w:val="1"/>
      <w:numFmt w:val="lowerLetter"/>
      <w:lvlText w:val="%8."/>
      <w:lvlJc w:val="left"/>
      <w:pPr>
        <w:ind w:left="5806" w:hanging="360"/>
      </w:pPr>
    </w:lvl>
    <w:lvl w:ilvl="8" w:tplc="0416001B" w:tentative="1">
      <w:start w:val="1"/>
      <w:numFmt w:val="lowerRoman"/>
      <w:lvlText w:val="%9."/>
      <w:lvlJc w:val="right"/>
      <w:pPr>
        <w:ind w:left="6526" w:hanging="180"/>
      </w:pPr>
    </w:lvl>
  </w:abstractNum>
  <w:abstractNum w:abstractNumId="27">
    <w:nsid w:val="6954116F"/>
    <w:multiLevelType w:val="hybridMultilevel"/>
    <w:tmpl w:val="EF9CD23C"/>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8">
    <w:nsid w:val="6BE7566F"/>
    <w:multiLevelType w:val="multilevel"/>
    <w:tmpl w:val="1AF4600A"/>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9">
    <w:nsid w:val="6CC20A20"/>
    <w:multiLevelType w:val="hybridMultilevel"/>
    <w:tmpl w:val="231A21C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D56518F"/>
    <w:multiLevelType w:val="hybridMultilevel"/>
    <w:tmpl w:val="D33AE388"/>
    <w:lvl w:ilvl="0" w:tplc="0416000F">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1">
    <w:nsid w:val="6DF36169"/>
    <w:multiLevelType w:val="hybridMultilevel"/>
    <w:tmpl w:val="642A22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77607D2A"/>
    <w:multiLevelType w:val="hybridMultilevel"/>
    <w:tmpl w:val="1FDC878A"/>
    <w:lvl w:ilvl="0" w:tplc="5FB4ED1E">
      <w:start w:val="1"/>
      <w:numFmt w:val="bullet"/>
      <w:lvlText w:val="•"/>
      <w:lvlJc w:val="left"/>
      <w:pPr>
        <w:tabs>
          <w:tab w:val="num" w:pos="720"/>
        </w:tabs>
        <w:ind w:left="720" w:hanging="360"/>
      </w:pPr>
      <w:rPr>
        <w:rFonts w:ascii="Arial" w:hAnsi="Arial" w:hint="default"/>
      </w:rPr>
    </w:lvl>
    <w:lvl w:ilvl="1" w:tplc="4056A010" w:tentative="1">
      <w:start w:val="1"/>
      <w:numFmt w:val="bullet"/>
      <w:lvlText w:val="•"/>
      <w:lvlJc w:val="left"/>
      <w:pPr>
        <w:tabs>
          <w:tab w:val="num" w:pos="1440"/>
        </w:tabs>
        <w:ind w:left="1440" w:hanging="360"/>
      </w:pPr>
      <w:rPr>
        <w:rFonts w:ascii="Arial" w:hAnsi="Arial" w:hint="default"/>
      </w:rPr>
    </w:lvl>
    <w:lvl w:ilvl="2" w:tplc="2B92FA86" w:tentative="1">
      <w:start w:val="1"/>
      <w:numFmt w:val="bullet"/>
      <w:lvlText w:val="•"/>
      <w:lvlJc w:val="left"/>
      <w:pPr>
        <w:tabs>
          <w:tab w:val="num" w:pos="2160"/>
        </w:tabs>
        <w:ind w:left="2160" w:hanging="360"/>
      </w:pPr>
      <w:rPr>
        <w:rFonts w:ascii="Arial" w:hAnsi="Arial" w:hint="default"/>
      </w:rPr>
    </w:lvl>
    <w:lvl w:ilvl="3" w:tplc="7E8C45B6" w:tentative="1">
      <w:start w:val="1"/>
      <w:numFmt w:val="bullet"/>
      <w:lvlText w:val="•"/>
      <w:lvlJc w:val="left"/>
      <w:pPr>
        <w:tabs>
          <w:tab w:val="num" w:pos="2880"/>
        </w:tabs>
        <w:ind w:left="2880" w:hanging="360"/>
      </w:pPr>
      <w:rPr>
        <w:rFonts w:ascii="Arial" w:hAnsi="Arial" w:hint="default"/>
      </w:rPr>
    </w:lvl>
    <w:lvl w:ilvl="4" w:tplc="BC14F66C" w:tentative="1">
      <w:start w:val="1"/>
      <w:numFmt w:val="bullet"/>
      <w:lvlText w:val="•"/>
      <w:lvlJc w:val="left"/>
      <w:pPr>
        <w:tabs>
          <w:tab w:val="num" w:pos="3600"/>
        </w:tabs>
        <w:ind w:left="3600" w:hanging="360"/>
      </w:pPr>
      <w:rPr>
        <w:rFonts w:ascii="Arial" w:hAnsi="Arial" w:hint="default"/>
      </w:rPr>
    </w:lvl>
    <w:lvl w:ilvl="5" w:tplc="168C743E" w:tentative="1">
      <w:start w:val="1"/>
      <w:numFmt w:val="bullet"/>
      <w:lvlText w:val="•"/>
      <w:lvlJc w:val="left"/>
      <w:pPr>
        <w:tabs>
          <w:tab w:val="num" w:pos="4320"/>
        </w:tabs>
        <w:ind w:left="4320" w:hanging="360"/>
      </w:pPr>
      <w:rPr>
        <w:rFonts w:ascii="Arial" w:hAnsi="Arial" w:hint="default"/>
      </w:rPr>
    </w:lvl>
    <w:lvl w:ilvl="6" w:tplc="E612EACA" w:tentative="1">
      <w:start w:val="1"/>
      <w:numFmt w:val="bullet"/>
      <w:lvlText w:val="•"/>
      <w:lvlJc w:val="left"/>
      <w:pPr>
        <w:tabs>
          <w:tab w:val="num" w:pos="5040"/>
        </w:tabs>
        <w:ind w:left="5040" w:hanging="360"/>
      </w:pPr>
      <w:rPr>
        <w:rFonts w:ascii="Arial" w:hAnsi="Arial" w:hint="default"/>
      </w:rPr>
    </w:lvl>
    <w:lvl w:ilvl="7" w:tplc="EDA8C658" w:tentative="1">
      <w:start w:val="1"/>
      <w:numFmt w:val="bullet"/>
      <w:lvlText w:val="•"/>
      <w:lvlJc w:val="left"/>
      <w:pPr>
        <w:tabs>
          <w:tab w:val="num" w:pos="5760"/>
        </w:tabs>
        <w:ind w:left="5760" w:hanging="360"/>
      </w:pPr>
      <w:rPr>
        <w:rFonts w:ascii="Arial" w:hAnsi="Arial" w:hint="default"/>
      </w:rPr>
    </w:lvl>
    <w:lvl w:ilvl="8" w:tplc="9580DEB8" w:tentative="1">
      <w:start w:val="1"/>
      <w:numFmt w:val="bullet"/>
      <w:lvlText w:val="•"/>
      <w:lvlJc w:val="left"/>
      <w:pPr>
        <w:tabs>
          <w:tab w:val="num" w:pos="6480"/>
        </w:tabs>
        <w:ind w:left="6480" w:hanging="360"/>
      </w:pPr>
      <w:rPr>
        <w:rFonts w:ascii="Arial" w:hAnsi="Arial" w:hint="default"/>
      </w:rPr>
    </w:lvl>
  </w:abstractNum>
  <w:abstractNum w:abstractNumId="33">
    <w:nsid w:val="7D0330B6"/>
    <w:multiLevelType w:val="hybridMultilevel"/>
    <w:tmpl w:val="F7680B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7F03694B"/>
    <w:multiLevelType w:val="hybridMultilevel"/>
    <w:tmpl w:val="17DCB4A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24"/>
  </w:num>
  <w:num w:numId="3">
    <w:abstractNumId w:val="10"/>
  </w:num>
  <w:num w:numId="4">
    <w:abstractNumId w:val="31"/>
  </w:num>
  <w:num w:numId="5">
    <w:abstractNumId w:val="8"/>
  </w:num>
  <w:num w:numId="6">
    <w:abstractNumId w:val="16"/>
  </w:num>
  <w:num w:numId="7">
    <w:abstractNumId w:val="2"/>
  </w:num>
  <w:num w:numId="8">
    <w:abstractNumId w:val="22"/>
  </w:num>
  <w:num w:numId="9">
    <w:abstractNumId w:val="14"/>
  </w:num>
  <w:num w:numId="10">
    <w:abstractNumId w:val="23"/>
  </w:num>
  <w:num w:numId="11">
    <w:abstractNumId w:val="17"/>
  </w:num>
  <w:num w:numId="12">
    <w:abstractNumId w:val="4"/>
  </w:num>
  <w:num w:numId="13">
    <w:abstractNumId w:val="32"/>
  </w:num>
  <w:num w:numId="14">
    <w:abstractNumId w:val="6"/>
  </w:num>
  <w:num w:numId="15">
    <w:abstractNumId w:val="3"/>
  </w:num>
  <w:num w:numId="16">
    <w:abstractNumId w:val="30"/>
  </w:num>
  <w:num w:numId="17">
    <w:abstractNumId w:val="27"/>
  </w:num>
  <w:num w:numId="18">
    <w:abstractNumId w:val="18"/>
  </w:num>
  <w:num w:numId="19">
    <w:abstractNumId w:val="13"/>
  </w:num>
  <w:num w:numId="20">
    <w:abstractNumId w:val="34"/>
  </w:num>
  <w:num w:numId="21">
    <w:abstractNumId w:val="25"/>
  </w:num>
  <w:num w:numId="22">
    <w:abstractNumId w:val="21"/>
  </w:num>
  <w:num w:numId="23">
    <w:abstractNumId w:val="0"/>
  </w:num>
  <w:num w:numId="24">
    <w:abstractNumId w:val="1"/>
  </w:num>
  <w:num w:numId="25">
    <w:abstractNumId w:val="19"/>
  </w:num>
  <w:num w:numId="26">
    <w:abstractNumId w:val="15"/>
  </w:num>
  <w:num w:numId="27">
    <w:abstractNumId w:val="11"/>
  </w:num>
  <w:num w:numId="28">
    <w:abstractNumId w:val="26"/>
  </w:num>
  <w:num w:numId="29">
    <w:abstractNumId w:val="29"/>
  </w:num>
  <w:num w:numId="30">
    <w:abstractNumId w:val="12"/>
  </w:num>
  <w:num w:numId="31">
    <w:abstractNumId w:val="28"/>
  </w:num>
  <w:num w:numId="32">
    <w:abstractNumId w:val="5"/>
  </w:num>
  <w:num w:numId="33">
    <w:abstractNumId w:val="20"/>
  </w:num>
  <w:num w:numId="34">
    <w:abstractNumId w:val="33"/>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E25AE"/>
    <w:rsid w:val="00000F96"/>
    <w:rsid w:val="00005232"/>
    <w:rsid w:val="00007132"/>
    <w:rsid w:val="00011EB4"/>
    <w:rsid w:val="000120DC"/>
    <w:rsid w:val="000126F5"/>
    <w:rsid w:val="00013572"/>
    <w:rsid w:val="0001406A"/>
    <w:rsid w:val="0001559C"/>
    <w:rsid w:val="00023752"/>
    <w:rsid w:val="00024C07"/>
    <w:rsid w:val="000255FB"/>
    <w:rsid w:val="00036840"/>
    <w:rsid w:val="000424EF"/>
    <w:rsid w:val="00044AE8"/>
    <w:rsid w:val="00047E84"/>
    <w:rsid w:val="00050036"/>
    <w:rsid w:val="00050B68"/>
    <w:rsid w:val="00052E94"/>
    <w:rsid w:val="00053522"/>
    <w:rsid w:val="000666E5"/>
    <w:rsid w:val="000734E0"/>
    <w:rsid w:val="00083AE7"/>
    <w:rsid w:val="0009108E"/>
    <w:rsid w:val="000A1B8A"/>
    <w:rsid w:val="000A5018"/>
    <w:rsid w:val="000A7676"/>
    <w:rsid w:val="000B27F0"/>
    <w:rsid w:val="000B30BE"/>
    <w:rsid w:val="000B4ABB"/>
    <w:rsid w:val="000B5535"/>
    <w:rsid w:val="000B5FE0"/>
    <w:rsid w:val="000B60B6"/>
    <w:rsid w:val="000D2356"/>
    <w:rsid w:val="000D4B56"/>
    <w:rsid w:val="000D7D5F"/>
    <w:rsid w:val="000E01BF"/>
    <w:rsid w:val="000E722C"/>
    <w:rsid w:val="000F793B"/>
    <w:rsid w:val="001105A6"/>
    <w:rsid w:val="001124FB"/>
    <w:rsid w:val="00117989"/>
    <w:rsid w:val="001207AB"/>
    <w:rsid w:val="00134A1A"/>
    <w:rsid w:val="001354BC"/>
    <w:rsid w:val="001366C3"/>
    <w:rsid w:val="00140F15"/>
    <w:rsid w:val="001416FE"/>
    <w:rsid w:val="00141DF5"/>
    <w:rsid w:val="00142C3B"/>
    <w:rsid w:val="001508CC"/>
    <w:rsid w:val="0015375A"/>
    <w:rsid w:val="00153FC4"/>
    <w:rsid w:val="001560FF"/>
    <w:rsid w:val="00157609"/>
    <w:rsid w:val="00166E68"/>
    <w:rsid w:val="001676B6"/>
    <w:rsid w:val="0017133F"/>
    <w:rsid w:val="001821C2"/>
    <w:rsid w:val="0018336F"/>
    <w:rsid w:val="00184114"/>
    <w:rsid w:val="001850AF"/>
    <w:rsid w:val="00195CDE"/>
    <w:rsid w:val="00196283"/>
    <w:rsid w:val="001A25AC"/>
    <w:rsid w:val="001A4008"/>
    <w:rsid w:val="001B19AE"/>
    <w:rsid w:val="001B1AEF"/>
    <w:rsid w:val="001B253C"/>
    <w:rsid w:val="001B4505"/>
    <w:rsid w:val="001C0E72"/>
    <w:rsid w:val="001D2A35"/>
    <w:rsid w:val="001E25AE"/>
    <w:rsid w:val="001F1B13"/>
    <w:rsid w:val="00202BD7"/>
    <w:rsid w:val="00226F2B"/>
    <w:rsid w:val="002313E0"/>
    <w:rsid w:val="00232C4D"/>
    <w:rsid w:val="00237538"/>
    <w:rsid w:val="002520CD"/>
    <w:rsid w:val="00273F62"/>
    <w:rsid w:val="00275F3D"/>
    <w:rsid w:val="002779DC"/>
    <w:rsid w:val="00277E07"/>
    <w:rsid w:val="002825D1"/>
    <w:rsid w:val="00282F95"/>
    <w:rsid w:val="00283715"/>
    <w:rsid w:val="00286784"/>
    <w:rsid w:val="002907CC"/>
    <w:rsid w:val="002936BF"/>
    <w:rsid w:val="002B098B"/>
    <w:rsid w:val="002C145E"/>
    <w:rsid w:val="002C160E"/>
    <w:rsid w:val="002C49EF"/>
    <w:rsid w:val="002C5DB4"/>
    <w:rsid w:val="002D140D"/>
    <w:rsid w:val="002D1688"/>
    <w:rsid w:val="002D29C9"/>
    <w:rsid w:val="002D4738"/>
    <w:rsid w:val="002E5BC1"/>
    <w:rsid w:val="002E62FC"/>
    <w:rsid w:val="002F79F8"/>
    <w:rsid w:val="003102F9"/>
    <w:rsid w:val="00314E59"/>
    <w:rsid w:val="003166D9"/>
    <w:rsid w:val="003216B4"/>
    <w:rsid w:val="00324C03"/>
    <w:rsid w:val="003264E6"/>
    <w:rsid w:val="0032709F"/>
    <w:rsid w:val="00336E7E"/>
    <w:rsid w:val="0034678D"/>
    <w:rsid w:val="00352CF6"/>
    <w:rsid w:val="00355415"/>
    <w:rsid w:val="00356685"/>
    <w:rsid w:val="003567E1"/>
    <w:rsid w:val="0036165A"/>
    <w:rsid w:val="00367754"/>
    <w:rsid w:val="003726E1"/>
    <w:rsid w:val="003750DD"/>
    <w:rsid w:val="003750E9"/>
    <w:rsid w:val="00382F14"/>
    <w:rsid w:val="00386DEE"/>
    <w:rsid w:val="003965C7"/>
    <w:rsid w:val="003B1A4C"/>
    <w:rsid w:val="003B4D43"/>
    <w:rsid w:val="003C0194"/>
    <w:rsid w:val="003C5094"/>
    <w:rsid w:val="003C54FD"/>
    <w:rsid w:val="003C66A3"/>
    <w:rsid w:val="003D2F19"/>
    <w:rsid w:val="003E0E74"/>
    <w:rsid w:val="003E309E"/>
    <w:rsid w:val="003F4161"/>
    <w:rsid w:val="004009A1"/>
    <w:rsid w:val="00405DBE"/>
    <w:rsid w:val="004079AE"/>
    <w:rsid w:val="00417120"/>
    <w:rsid w:val="004208B0"/>
    <w:rsid w:val="004265CC"/>
    <w:rsid w:val="00430925"/>
    <w:rsid w:val="00430A16"/>
    <w:rsid w:val="0043254C"/>
    <w:rsid w:val="0043417D"/>
    <w:rsid w:val="004344D6"/>
    <w:rsid w:val="004347A3"/>
    <w:rsid w:val="00445DE7"/>
    <w:rsid w:val="00445F96"/>
    <w:rsid w:val="004504E8"/>
    <w:rsid w:val="00470E87"/>
    <w:rsid w:val="004742F9"/>
    <w:rsid w:val="0047525B"/>
    <w:rsid w:val="00476DA3"/>
    <w:rsid w:val="00477C5A"/>
    <w:rsid w:val="00481932"/>
    <w:rsid w:val="004961DB"/>
    <w:rsid w:val="00497821"/>
    <w:rsid w:val="004C13EF"/>
    <w:rsid w:val="004D41CF"/>
    <w:rsid w:val="004D4535"/>
    <w:rsid w:val="004D70DB"/>
    <w:rsid w:val="004D7557"/>
    <w:rsid w:val="004E4070"/>
    <w:rsid w:val="00527C91"/>
    <w:rsid w:val="00530918"/>
    <w:rsid w:val="0054550E"/>
    <w:rsid w:val="00545745"/>
    <w:rsid w:val="0055386C"/>
    <w:rsid w:val="0055528F"/>
    <w:rsid w:val="00562609"/>
    <w:rsid w:val="00562F91"/>
    <w:rsid w:val="005633BB"/>
    <w:rsid w:val="00571127"/>
    <w:rsid w:val="005737D9"/>
    <w:rsid w:val="0058381D"/>
    <w:rsid w:val="00583D10"/>
    <w:rsid w:val="00584BD2"/>
    <w:rsid w:val="0058705F"/>
    <w:rsid w:val="00590E4D"/>
    <w:rsid w:val="005969E2"/>
    <w:rsid w:val="005A59CF"/>
    <w:rsid w:val="005A62C2"/>
    <w:rsid w:val="005A62E9"/>
    <w:rsid w:val="005A7204"/>
    <w:rsid w:val="005B62A9"/>
    <w:rsid w:val="005C0745"/>
    <w:rsid w:val="005C762E"/>
    <w:rsid w:val="005D1296"/>
    <w:rsid w:val="005D778B"/>
    <w:rsid w:val="005E1E3E"/>
    <w:rsid w:val="005E4D43"/>
    <w:rsid w:val="005F05BF"/>
    <w:rsid w:val="005F7151"/>
    <w:rsid w:val="006107E3"/>
    <w:rsid w:val="006151B0"/>
    <w:rsid w:val="006168B2"/>
    <w:rsid w:val="00620AF4"/>
    <w:rsid w:val="006321AD"/>
    <w:rsid w:val="00636F32"/>
    <w:rsid w:val="006557B6"/>
    <w:rsid w:val="00657ADE"/>
    <w:rsid w:val="00661733"/>
    <w:rsid w:val="00665640"/>
    <w:rsid w:val="00667D97"/>
    <w:rsid w:val="00685FF3"/>
    <w:rsid w:val="00690D85"/>
    <w:rsid w:val="006A5070"/>
    <w:rsid w:val="006B0628"/>
    <w:rsid w:val="006B1EF3"/>
    <w:rsid w:val="006C6BBA"/>
    <w:rsid w:val="006D1F31"/>
    <w:rsid w:val="006D2910"/>
    <w:rsid w:val="006D6CF8"/>
    <w:rsid w:val="006E3FED"/>
    <w:rsid w:val="006E47C8"/>
    <w:rsid w:val="006E5854"/>
    <w:rsid w:val="006F30DC"/>
    <w:rsid w:val="00701470"/>
    <w:rsid w:val="00701698"/>
    <w:rsid w:val="007275B1"/>
    <w:rsid w:val="0073014F"/>
    <w:rsid w:val="00745CC0"/>
    <w:rsid w:val="007532FD"/>
    <w:rsid w:val="00760F1E"/>
    <w:rsid w:val="00761EE1"/>
    <w:rsid w:val="00773AD6"/>
    <w:rsid w:val="00775398"/>
    <w:rsid w:val="00781214"/>
    <w:rsid w:val="007822C5"/>
    <w:rsid w:val="00784EE0"/>
    <w:rsid w:val="00793472"/>
    <w:rsid w:val="00794366"/>
    <w:rsid w:val="007947CF"/>
    <w:rsid w:val="007A04EC"/>
    <w:rsid w:val="007A3A3D"/>
    <w:rsid w:val="007A6EF7"/>
    <w:rsid w:val="007B0051"/>
    <w:rsid w:val="007B5288"/>
    <w:rsid w:val="007C6118"/>
    <w:rsid w:val="007C6D40"/>
    <w:rsid w:val="007D0480"/>
    <w:rsid w:val="007D585A"/>
    <w:rsid w:val="007E1A72"/>
    <w:rsid w:val="007E1F25"/>
    <w:rsid w:val="007E5CEE"/>
    <w:rsid w:val="007F0857"/>
    <w:rsid w:val="007F5777"/>
    <w:rsid w:val="0080543D"/>
    <w:rsid w:val="00805B55"/>
    <w:rsid w:val="00806264"/>
    <w:rsid w:val="00806C53"/>
    <w:rsid w:val="00810FD1"/>
    <w:rsid w:val="0081212A"/>
    <w:rsid w:val="00820350"/>
    <w:rsid w:val="00820A3B"/>
    <w:rsid w:val="00824932"/>
    <w:rsid w:val="00827D63"/>
    <w:rsid w:val="00830259"/>
    <w:rsid w:val="0083171F"/>
    <w:rsid w:val="0083212C"/>
    <w:rsid w:val="00835E58"/>
    <w:rsid w:val="0084382D"/>
    <w:rsid w:val="00844C3D"/>
    <w:rsid w:val="00854711"/>
    <w:rsid w:val="00863A27"/>
    <w:rsid w:val="008641EF"/>
    <w:rsid w:val="00867DC9"/>
    <w:rsid w:val="008748A7"/>
    <w:rsid w:val="00882408"/>
    <w:rsid w:val="0088264E"/>
    <w:rsid w:val="0089055C"/>
    <w:rsid w:val="008965AF"/>
    <w:rsid w:val="008A0488"/>
    <w:rsid w:val="008A0E34"/>
    <w:rsid w:val="008B411C"/>
    <w:rsid w:val="008B69D1"/>
    <w:rsid w:val="008C2251"/>
    <w:rsid w:val="008C35AE"/>
    <w:rsid w:val="008C6264"/>
    <w:rsid w:val="008C7C40"/>
    <w:rsid w:val="008E27DE"/>
    <w:rsid w:val="008E329A"/>
    <w:rsid w:val="008E38F5"/>
    <w:rsid w:val="008E4242"/>
    <w:rsid w:val="008F06AF"/>
    <w:rsid w:val="008F0CB6"/>
    <w:rsid w:val="008F356E"/>
    <w:rsid w:val="00901C51"/>
    <w:rsid w:val="00911296"/>
    <w:rsid w:val="0091649C"/>
    <w:rsid w:val="009167EC"/>
    <w:rsid w:val="009257B2"/>
    <w:rsid w:val="0092755C"/>
    <w:rsid w:val="009405E2"/>
    <w:rsid w:val="0094201E"/>
    <w:rsid w:val="00942F11"/>
    <w:rsid w:val="00944220"/>
    <w:rsid w:val="009443EE"/>
    <w:rsid w:val="00946C0C"/>
    <w:rsid w:val="0095757C"/>
    <w:rsid w:val="00963288"/>
    <w:rsid w:val="00965820"/>
    <w:rsid w:val="00965BA3"/>
    <w:rsid w:val="00975E35"/>
    <w:rsid w:val="00981325"/>
    <w:rsid w:val="009837F1"/>
    <w:rsid w:val="00994ACA"/>
    <w:rsid w:val="009B1885"/>
    <w:rsid w:val="009D006F"/>
    <w:rsid w:val="009D75BE"/>
    <w:rsid w:val="009E1BF6"/>
    <w:rsid w:val="009E34C2"/>
    <w:rsid w:val="009F1743"/>
    <w:rsid w:val="009F1F2E"/>
    <w:rsid w:val="009F2431"/>
    <w:rsid w:val="009F79FD"/>
    <w:rsid w:val="009F7FB9"/>
    <w:rsid w:val="00A01768"/>
    <w:rsid w:val="00A01D9C"/>
    <w:rsid w:val="00A229F8"/>
    <w:rsid w:val="00A22A2D"/>
    <w:rsid w:val="00A31FC8"/>
    <w:rsid w:val="00A32119"/>
    <w:rsid w:val="00A41CB4"/>
    <w:rsid w:val="00A4361A"/>
    <w:rsid w:val="00A46167"/>
    <w:rsid w:val="00A519FC"/>
    <w:rsid w:val="00A53ACF"/>
    <w:rsid w:val="00A5560E"/>
    <w:rsid w:val="00A56EB5"/>
    <w:rsid w:val="00A5776A"/>
    <w:rsid w:val="00A60744"/>
    <w:rsid w:val="00A60BF3"/>
    <w:rsid w:val="00A6335C"/>
    <w:rsid w:val="00A6371C"/>
    <w:rsid w:val="00A67275"/>
    <w:rsid w:val="00A71260"/>
    <w:rsid w:val="00A77B1C"/>
    <w:rsid w:val="00A92B23"/>
    <w:rsid w:val="00A9419F"/>
    <w:rsid w:val="00A94ADF"/>
    <w:rsid w:val="00A95361"/>
    <w:rsid w:val="00AA18E8"/>
    <w:rsid w:val="00AB4ABC"/>
    <w:rsid w:val="00AC16E2"/>
    <w:rsid w:val="00AC22EE"/>
    <w:rsid w:val="00AC589A"/>
    <w:rsid w:val="00AD4124"/>
    <w:rsid w:val="00AD5242"/>
    <w:rsid w:val="00AD79D5"/>
    <w:rsid w:val="00AE2B3C"/>
    <w:rsid w:val="00B03A04"/>
    <w:rsid w:val="00B12BB5"/>
    <w:rsid w:val="00B1634A"/>
    <w:rsid w:val="00B163C4"/>
    <w:rsid w:val="00B203AD"/>
    <w:rsid w:val="00B20B94"/>
    <w:rsid w:val="00B22930"/>
    <w:rsid w:val="00B31FA0"/>
    <w:rsid w:val="00B330BA"/>
    <w:rsid w:val="00B4265C"/>
    <w:rsid w:val="00B466D3"/>
    <w:rsid w:val="00B50219"/>
    <w:rsid w:val="00B518AF"/>
    <w:rsid w:val="00B54CE0"/>
    <w:rsid w:val="00B55C75"/>
    <w:rsid w:val="00B5664D"/>
    <w:rsid w:val="00B6036E"/>
    <w:rsid w:val="00B658DD"/>
    <w:rsid w:val="00B76AC9"/>
    <w:rsid w:val="00B76E15"/>
    <w:rsid w:val="00B779F8"/>
    <w:rsid w:val="00B81CB0"/>
    <w:rsid w:val="00B91468"/>
    <w:rsid w:val="00B91A1A"/>
    <w:rsid w:val="00B95AAB"/>
    <w:rsid w:val="00BA1E41"/>
    <w:rsid w:val="00BA3374"/>
    <w:rsid w:val="00BA57B5"/>
    <w:rsid w:val="00BA767A"/>
    <w:rsid w:val="00BB271A"/>
    <w:rsid w:val="00BB3178"/>
    <w:rsid w:val="00BB474A"/>
    <w:rsid w:val="00BB4B71"/>
    <w:rsid w:val="00BC28D6"/>
    <w:rsid w:val="00BC4175"/>
    <w:rsid w:val="00BC780D"/>
    <w:rsid w:val="00BD597F"/>
    <w:rsid w:val="00BE26A0"/>
    <w:rsid w:val="00BE576F"/>
    <w:rsid w:val="00BF1687"/>
    <w:rsid w:val="00C024CB"/>
    <w:rsid w:val="00C040A4"/>
    <w:rsid w:val="00C06D48"/>
    <w:rsid w:val="00C07D99"/>
    <w:rsid w:val="00C1281B"/>
    <w:rsid w:val="00C14052"/>
    <w:rsid w:val="00C2751A"/>
    <w:rsid w:val="00C3339E"/>
    <w:rsid w:val="00C360BF"/>
    <w:rsid w:val="00C36852"/>
    <w:rsid w:val="00C474DE"/>
    <w:rsid w:val="00C5010A"/>
    <w:rsid w:val="00C55765"/>
    <w:rsid w:val="00C57A78"/>
    <w:rsid w:val="00C62AA5"/>
    <w:rsid w:val="00C653AF"/>
    <w:rsid w:val="00C74F8A"/>
    <w:rsid w:val="00C763C5"/>
    <w:rsid w:val="00C7732F"/>
    <w:rsid w:val="00C810A8"/>
    <w:rsid w:val="00C85E80"/>
    <w:rsid w:val="00C90117"/>
    <w:rsid w:val="00C9439D"/>
    <w:rsid w:val="00C96826"/>
    <w:rsid w:val="00C97274"/>
    <w:rsid w:val="00CB0D80"/>
    <w:rsid w:val="00CB4AFB"/>
    <w:rsid w:val="00CB52EB"/>
    <w:rsid w:val="00CB541B"/>
    <w:rsid w:val="00CE0041"/>
    <w:rsid w:val="00CF4BC8"/>
    <w:rsid w:val="00CF57F6"/>
    <w:rsid w:val="00CF7C51"/>
    <w:rsid w:val="00D124F6"/>
    <w:rsid w:val="00D34708"/>
    <w:rsid w:val="00D362B2"/>
    <w:rsid w:val="00D453F6"/>
    <w:rsid w:val="00D47D64"/>
    <w:rsid w:val="00D5522B"/>
    <w:rsid w:val="00D577DF"/>
    <w:rsid w:val="00D61436"/>
    <w:rsid w:val="00D65A80"/>
    <w:rsid w:val="00D6698A"/>
    <w:rsid w:val="00D73045"/>
    <w:rsid w:val="00D74CC1"/>
    <w:rsid w:val="00D76763"/>
    <w:rsid w:val="00D81795"/>
    <w:rsid w:val="00D913A1"/>
    <w:rsid w:val="00D91654"/>
    <w:rsid w:val="00D96A4D"/>
    <w:rsid w:val="00DA0924"/>
    <w:rsid w:val="00DA14CA"/>
    <w:rsid w:val="00DA2235"/>
    <w:rsid w:val="00DB6FB8"/>
    <w:rsid w:val="00DC05EF"/>
    <w:rsid w:val="00DC6202"/>
    <w:rsid w:val="00DD2C3C"/>
    <w:rsid w:val="00DF67FF"/>
    <w:rsid w:val="00DF7941"/>
    <w:rsid w:val="00E0716C"/>
    <w:rsid w:val="00E159F7"/>
    <w:rsid w:val="00E20B6F"/>
    <w:rsid w:val="00E239C4"/>
    <w:rsid w:val="00E25F21"/>
    <w:rsid w:val="00E263D4"/>
    <w:rsid w:val="00E27625"/>
    <w:rsid w:val="00E32425"/>
    <w:rsid w:val="00E35070"/>
    <w:rsid w:val="00E36D9D"/>
    <w:rsid w:val="00E406F3"/>
    <w:rsid w:val="00E44C00"/>
    <w:rsid w:val="00E479EF"/>
    <w:rsid w:val="00E50A92"/>
    <w:rsid w:val="00E51C3E"/>
    <w:rsid w:val="00E57D55"/>
    <w:rsid w:val="00E621E6"/>
    <w:rsid w:val="00E70976"/>
    <w:rsid w:val="00E71541"/>
    <w:rsid w:val="00E71FB6"/>
    <w:rsid w:val="00E72230"/>
    <w:rsid w:val="00E757F1"/>
    <w:rsid w:val="00E869B8"/>
    <w:rsid w:val="00E874C7"/>
    <w:rsid w:val="00E94795"/>
    <w:rsid w:val="00E977E6"/>
    <w:rsid w:val="00EA172F"/>
    <w:rsid w:val="00EB2072"/>
    <w:rsid w:val="00EB6505"/>
    <w:rsid w:val="00EC3111"/>
    <w:rsid w:val="00ED5926"/>
    <w:rsid w:val="00ED7011"/>
    <w:rsid w:val="00EE5107"/>
    <w:rsid w:val="00EE6637"/>
    <w:rsid w:val="00EE6822"/>
    <w:rsid w:val="00EF3E26"/>
    <w:rsid w:val="00F00CA0"/>
    <w:rsid w:val="00F074C1"/>
    <w:rsid w:val="00F1710A"/>
    <w:rsid w:val="00F17F21"/>
    <w:rsid w:val="00F20435"/>
    <w:rsid w:val="00F247E3"/>
    <w:rsid w:val="00F301D2"/>
    <w:rsid w:val="00F34482"/>
    <w:rsid w:val="00F3659B"/>
    <w:rsid w:val="00F403C0"/>
    <w:rsid w:val="00F519F2"/>
    <w:rsid w:val="00F541FE"/>
    <w:rsid w:val="00F56C0C"/>
    <w:rsid w:val="00F56DA2"/>
    <w:rsid w:val="00F72FB2"/>
    <w:rsid w:val="00F774B8"/>
    <w:rsid w:val="00F80F5A"/>
    <w:rsid w:val="00F86239"/>
    <w:rsid w:val="00FA109A"/>
    <w:rsid w:val="00FA3B25"/>
    <w:rsid w:val="00FA6F89"/>
    <w:rsid w:val="00FB05F0"/>
    <w:rsid w:val="00FB0CCB"/>
    <w:rsid w:val="00FB3291"/>
    <w:rsid w:val="00FB3EEA"/>
    <w:rsid w:val="00FB6AF7"/>
    <w:rsid w:val="00FC03E6"/>
    <w:rsid w:val="00FD0AE6"/>
    <w:rsid w:val="00FD5D28"/>
    <w:rsid w:val="00FE2BB3"/>
    <w:rsid w:val="00FE39E7"/>
    <w:rsid w:val="00FE44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1995CA-6A08-47FC-BE5C-5A2FE7DF4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5A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0B5535"/>
    <w:pPr>
      <w:keepNext/>
      <w:keepLines/>
      <w:numPr>
        <w:numId w:val="31"/>
      </w:numPr>
      <w:spacing w:beforeLines="120" w:before="288"/>
      <w:jc w:val="both"/>
      <w:outlineLvl w:val="0"/>
    </w:pPr>
    <w:rPr>
      <w:rFonts w:asciiTheme="majorHAnsi" w:eastAsiaTheme="majorEastAsia" w:hAnsiTheme="majorHAnsi" w:cstheme="majorBidi"/>
      <w:b/>
      <w:color w:val="ED7D31"/>
      <w:sz w:val="20"/>
      <w:szCs w:val="20"/>
      <w:lang w:eastAsia="en-US"/>
    </w:rPr>
  </w:style>
  <w:style w:type="paragraph" w:styleId="Ttulo2">
    <w:name w:val="heading 2"/>
    <w:basedOn w:val="Normal"/>
    <w:next w:val="Normal"/>
    <w:link w:val="Ttulo2Char"/>
    <w:autoRedefine/>
    <w:uiPriority w:val="9"/>
    <w:unhideWhenUsed/>
    <w:qFormat/>
    <w:rsid w:val="000B5535"/>
    <w:pPr>
      <w:keepNext/>
      <w:keepLines/>
      <w:numPr>
        <w:ilvl w:val="1"/>
        <w:numId w:val="31"/>
      </w:numPr>
      <w:spacing w:before="40" w:after="160" w:line="259" w:lineRule="auto"/>
      <w:outlineLvl w:val="1"/>
    </w:pPr>
    <w:rPr>
      <w:rFonts w:asciiTheme="majorHAnsi" w:eastAsiaTheme="majorEastAsia" w:hAnsiTheme="majorHAnsi" w:cstheme="majorBidi"/>
      <w:b/>
      <w:color w:val="ED7D31"/>
      <w:sz w:val="20"/>
      <w:szCs w:val="26"/>
      <w:lang w:eastAsia="en-US"/>
    </w:rPr>
  </w:style>
  <w:style w:type="paragraph" w:styleId="Ttulo3">
    <w:name w:val="heading 3"/>
    <w:basedOn w:val="Normal"/>
    <w:next w:val="Normal"/>
    <w:link w:val="Ttulo3Char"/>
    <w:uiPriority w:val="9"/>
    <w:unhideWhenUsed/>
    <w:qFormat/>
    <w:rsid w:val="000B5535"/>
    <w:pPr>
      <w:keepNext/>
      <w:keepLines/>
      <w:numPr>
        <w:ilvl w:val="2"/>
        <w:numId w:val="31"/>
      </w:numPr>
      <w:spacing w:before="40" w:line="259" w:lineRule="auto"/>
      <w:outlineLvl w:val="2"/>
    </w:pPr>
    <w:rPr>
      <w:rFonts w:asciiTheme="majorHAnsi" w:eastAsiaTheme="majorEastAsia" w:hAnsiTheme="majorHAnsi" w:cstheme="majorBidi"/>
      <w:b/>
      <w:color w:val="ED7D31"/>
      <w:sz w:val="20"/>
      <w:lang w:eastAsia="en-US"/>
    </w:rPr>
  </w:style>
  <w:style w:type="paragraph" w:styleId="Ttulo4">
    <w:name w:val="heading 4"/>
    <w:basedOn w:val="Normal"/>
    <w:next w:val="Normal"/>
    <w:link w:val="Ttulo4Char"/>
    <w:uiPriority w:val="9"/>
    <w:semiHidden/>
    <w:unhideWhenUsed/>
    <w:qFormat/>
    <w:rsid w:val="000B5535"/>
    <w:pPr>
      <w:keepNext/>
      <w:keepLines/>
      <w:numPr>
        <w:ilvl w:val="3"/>
        <w:numId w:val="31"/>
      </w:numPr>
      <w:spacing w:before="40" w:line="259" w:lineRule="auto"/>
      <w:outlineLvl w:val="3"/>
    </w:pPr>
    <w:rPr>
      <w:rFonts w:asciiTheme="majorHAnsi" w:eastAsiaTheme="majorEastAsia" w:hAnsiTheme="majorHAnsi" w:cstheme="majorBidi"/>
      <w:i/>
      <w:iCs/>
      <w:color w:val="365F91" w:themeColor="accent1" w:themeShade="BF"/>
      <w:sz w:val="20"/>
      <w:szCs w:val="22"/>
      <w:lang w:eastAsia="en-US"/>
    </w:rPr>
  </w:style>
  <w:style w:type="paragraph" w:styleId="Ttulo5">
    <w:name w:val="heading 5"/>
    <w:basedOn w:val="Normal"/>
    <w:next w:val="Normal"/>
    <w:link w:val="Ttulo5Char"/>
    <w:uiPriority w:val="9"/>
    <w:semiHidden/>
    <w:unhideWhenUsed/>
    <w:qFormat/>
    <w:rsid w:val="000B5535"/>
    <w:pPr>
      <w:keepNext/>
      <w:keepLines/>
      <w:numPr>
        <w:ilvl w:val="4"/>
        <w:numId w:val="31"/>
      </w:numPr>
      <w:spacing w:before="40" w:line="259" w:lineRule="auto"/>
      <w:outlineLvl w:val="4"/>
    </w:pPr>
    <w:rPr>
      <w:rFonts w:asciiTheme="majorHAnsi" w:eastAsiaTheme="majorEastAsia" w:hAnsiTheme="majorHAnsi" w:cstheme="majorBidi"/>
      <w:color w:val="365F91" w:themeColor="accent1" w:themeShade="BF"/>
      <w:sz w:val="20"/>
      <w:szCs w:val="22"/>
      <w:lang w:eastAsia="en-US"/>
    </w:rPr>
  </w:style>
  <w:style w:type="paragraph" w:styleId="Ttulo6">
    <w:name w:val="heading 6"/>
    <w:basedOn w:val="Normal"/>
    <w:next w:val="Normal"/>
    <w:link w:val="Ttulo6Char"/>
    <w:uiPriority w:val="9"/>
    <w:semiHidden/>
    <w:unhideWhenUsed/>
    <w:qFormat/>
    <w:rsid w:val="000B5535"/>
    <w:pPr>
      <w:keepNext/>
      <w:keepLines/>
      <w:numPr>
        <w:ilvl w:val="5"/>
        <w:numId w:val="31"/>
      </w:numPr>
      <w:spacing w:before="40" w:line="259" w:lineRule="auto"/>
      <w:outlineLvl w:val="5"/>
    </w:pPr>
    <w:rPr>
      <w:rFonts w:asciiTheme="majorHAnsi" w:eastAsiaTheme="majorEastAsia" w:hAnsiTheme="majorHAnsi" w:cstheme="majorBidi"/>
      <w:color w:val="243F60" w:themeColor="accent1" w:themeShade="7F"/>
      <w:sz w:val="20"/>
      <w:szCs w:val="22"/>
      <w:lang w:eastAsia="en-US"/>
    </w:rPr>
  </w:style>
  <w:style w:type="paragraph" w:styleId="Ttulo7">
    <w:name w:val="heading 7"/>
    <w:basedOn w:val="Normal"/>
    <w:next w:val="Normal"/>
    <w:link w:val="Ttulo7Char"/>
    <w:uiPriority w:val="9"/>
    <w:semiHidden/>
    <w:unhideWhenUsed/>
    <w:qFormat/>
    <w:rsid w:val="000B5535"/>
    <w:pPr>
      <w:keepNext/>
      <w:keepLines/>
      <w:numPr>
        <w:ilvl w:val="6"/>
        <w:numId w:val="31"/>
      </w:numPr>
      <w:spacing w:before="40" w:line="259" w:lineRule="auto"/>
      <w:outlineLvl w:val="6"/>
    </w:pPr>
    <w:rPr>
      <w:rFonts w:asciiTheme="majorHAnsi" w:eastAsiaTheme="majorEastAsia" w:hAnsiTheme="majorHAnsi" w:cstheme="majorBidi"/>
      <w:i/>
      <w:iCs/>
      <w:color w:val="243F60" w:themeColor="accent1" w:themeShade="7F"/>
      <w:sz w:val="20"/>
      <w:szCs w:val="22"/>
      <w:lang w:eastAsia="en-US"/>
    </w:rPr>
  </w:style>
  <w:style w:type="paragraph" w:styleId="Ttulo8">
    <w:name w:val="heading 8"/>
    <w:basedOn w:val="Normal"/>
    <w:next w:val="Normal"/>
    <w:link w:val="Ttulo8Char"/>
    <w:uiPriority w:val="9"/>
    <w:semiHidden/>
    <w:unhideWhenUsed/>
    <w:qFormat/>
    <w:rsid w:val="000B5535"/>
    <w:pPr>
      <w:keepNext/>
      <w:keepLines/>
      <w:numPr>
        <w:ilvl w:val="7"/>
        <w:numId w:val="31"/>
      </w:numPr>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paragraph" w:styleId="Ttulo9">
    <w:name w:val="heading 9"/>
    <w:basedOn w:val="Normal"/>
    <w:next w:val="Normal"/>
    <w:link w:val="Ttulo9Char"/>
    <w:uiPriority w:val="9"/>
    <w:semiHidden/>
    <w:unhideWhenUsed/>
    <w:qFormat/>
    <w:rsid w:val="000B5535"/>
    <w:pPr>
      <w:keepNext/>
      <w:keepLines/>
      <w:numPr>
        <w:ilvl w:val="8"/>
        <w:numId w:val="31"/>
      </w:numPr>
      <w:spacing w:before="40" w:line="259"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E25AE"/>
    <w:pPr>
      <w:tabs>
        <w:tab w:val="center" w:pos="4419"/>
        <w:tab w:val="right" w:pos="8838"/>
      </w:tabs>
    </w:pPr>
  </w:style>
  <w:style w:type="character" w:customStyle="1" w:styleId="CabealhoChar">
    <w:name w:val="Cabeçalho Char"/>
    <w:basedOn w:val="Fontepargpadro"/>
    <w:link w:val="Cabealho"/>
    <w:uiPriority w:val="99"/>
    <w:rsid w:val="001E25AE"/>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1E25AE"/>
    <w:pPr>
      <w:tabs>
        <w:tab w:val="center" w:pos="4419"/>
        <w:tab w:val="right" w:pos="8838"/>
      </w:tabs>
    </w:pPr>
  </w:style>
  <w:style w:type="character" w:customStyle="1" w:styleId="RodapChar">
    <w:name w:val="Rodapé Char"/>
    <w:basedOn w:val="Fontepargpadro"/>
    <w:link w:val="Rodap"/>
    <w:uiPriority w:val="99"/>
    <w:rsid w:val="001E25AE"/>
    <w:rPr>
      <w:rFonts w:ascii="Times New Roman" w:eastAsia="Times New Roman" w:hAnsi="Times New Roman" w:cs="Times New Roman"/>
      <w:sz w:val="24"/>
      <w:szCs w:val="24"/>
      <w:lang w:eastAsia="pt-BR"/>
    </w:rPr>
  </w:style>
  <w:style w:type="paragraph" w:styleId="Subttulo">
    <w:name w:val="Subtitle"/>
    <w:basedOn w:val="Normal"/>
    <w:next w:val="Normal"/>
    <w:link w:val="SubttuloChar"/>
    <w:uiPriority w:val="11"/>
    <w:qFormat/>
    <w:rsid w:val="001E25AE"/>
    <w:pPr>
      <w:spacing w:after="60"/>
      <w:jc w:val="center"/>
      <w:outlineLvl w:val="1"/>
    </w:pPr>
    <w:rPr>
      <w:rFonts w:ascii="Cambria" w:hAnsi="Cambria"/>
    </w:rPr>
  </w:style>
  <w:style w:type="character" w:customStyle="1" w:styleId="SubttuloChar">
    <w:name w:val="Subtítulo Char"/>
    <w:basedOn w:val="Fontepargpadro"/>
    <w:link w:val="Subttulo"/>
    <w:uiPriority w:val="11"/>
    <w:rsid w:val="001E25AE"/>
    <w:rPr>
      <w:rFonts w:ascii="Cambria" w:eastAsia="Times New Roman" w:hAnsi="Cambria" w:cs="Times New Roman"/>
      <w:sz w:val="24"/>
      <w:szCs w:val="24"/>
      <w:lang w:eastAsia="pt-BR"/>
    </w:rPr>
  </w:style>
  <w:style w:type="paragraph" w:customStyle="1" w:styleId="ecxmsonormal">
    <w:name w:val="ecxmsonormal"/>
    <w:basedOn w:val="Normal"/>
    <w:rsid w:val="001E25AE"/>
    <w:pPr>
      <w:spacing w:after="324"/>
    </w:pPr>
  </w:style>
  <w:style w:type="character" w:styleId="Hyperlink">
    <w:name w:val="Hyperlink"/>
    <w:basedOn w:val="Fontepargpadro"/>
    <w:uiPriority w:val="99"/>
    <w:unhideWhenUsed/>
    <w:rsid w:val="00784EE0"/>
    <w:rPr>
      <w:color w:val="0000FF" w:themeColor="hyperlink"/>
      <w:u w:val="single"/>
    </w:rPr>
  </w:style>
  <w:style w:type="table" w:styleId="Tabelacomgrade">
    <w:name w:val="Table Grid"/>
    <w:basedOn w:val="Tabelanormal"/>
    <w:uiPriority w:val="59"/>
    <w:rsid w:val="00B163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E32425"/>
    <w:pPr>
      <w:ind w:left="720"/>
      <w:contextualSpacing/>
    </w:pPr>
  </w:style>
  <w:style w:type="paragraph" w:styleId="Textodebalo">
    <w:name w:val="Balloon Text"/>
    <w:basedOn w:val="Normal"/>
    <w:link w:val="TextodebaloChar"/>
    <w:uiPriority w:val="99"/>
    <w:semiHidden/>
    <w:unhideWhenUsed/>
    <w:rsid w:val="0054550E"/>
    <w:rPr>
      <w:rFonts w:ascii="Tahoma" w:hAnsi="Tahoma" w:cs="Tahoma"/>
      <w:sz w:val="16"/>
      <w:szCs w:val="16"/>
    </w:rPr>
  </w:style>
  <w:style w:type="character" w:customStyle="1" w:styleId="TextodebaloChar">
    <w:name w:val="Texto de balão Char"/>
    <w:basedOn w:val="Fontepargpadro"/>
    <w:link w:val="Textodebalo"/>
    <w:uiPriority w:val="99"/>
    <w:semiHidden/>
    <w:rsid w:val="0054550E"/>
    <w:rPr>
      <w:rFonts w:ascii="Tahoma" w:eastAsia="Times New Roman" w:hAnsi="Tahoma" w:cs="Tahoma"/>
      <w:sz w:val="16"/>
      <w:szCs w:val="16"/>
      <w:lang w:eastAsia="pt-BR"/>
    </w:rPr>
  </w:style>
  <w:style w:type="paragraph" w:styleId="NormalWeb">
    <w:name w:val="Normal (Web)"/>
    <w:basedOn w:val="Normal"/>
    <w:uiPriority w:val="99"/>
    <w:semiHidden/>
    <w:unhideWhenUsed/>
    <w:rsid w:val="000666E5"/>
    <w:pPr>
      <w:spacing w:before="100" w:beforeAutospacing="1" w:after="100" w:afterAutospacing="1"/>
    </w:pPr>
  </w:style>
  <w:style w:type="paragraph" w:customStyle="1" w:styleId="Default">
    <w:name w:val="Default"/>
    <w:rsid w:val="00DB6FB8"/>
    <w:pPr>
      <w:autoSpaceDE w:val="0"/>
      <w:autoSpaceDN w:val="0"/>
      <w:adjustRightInd w:val="0"/>
      <w:spacing w:after="0" w:line="240" w:lineRule="auto"/>
    </w:pPr>
    <w:rPr>
      <w:rFonts w:ascii="Arial" w:eastAsia="Calibri" w:hAnsi="Arial" w:cs="Arial"/>
      <w:color w:val="000000"/>
      <w:sz w:val="24"/>
      <w:szCs w:val="24"/>
    </w:rPr>
  </w:style>
  <w:style w:type="table" w:customStyle="1" w:styleId="Tabelacomgrade1">
    <w:name w:val="Tabela com grade1"/>
    <w:basedOn w:val="Tabelanormal"/>
    <w:next w:val="Tabelacomgrade"/>
    <w:uiPriority w:val="59"/>
    <w:rsid w:val="003567E1"/>
    <w:pPr>
      <w:spacing w:after="0" w:line="240" w:lineRule="auto"/>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0B5535"/>
    <w:rPr>
      <w:rFonts w:asciiTheme="majorHAnsi" w:eastAsiaTheme="majorEastAsia" w:hAnsiTheme="majorHAnsi" w:cstheme="majorBidi"/>
      <w:b/>
      <w:color w:val="ED7D31"/>
      <w:sz w:val="20"/>
      <w:szCs w:val="20"/>
    </w:rPr>
  </w:style>
  <w:style w:type="character" w:customStyle="1" w:styleId="Ttulo2Char">
    <w:name w:val="Título 2 Char"/>
    <w:basedOn w:val="Fontepargpadro"/>
    <w:link w:val="Ttulo2"/>
    <w:uiPriority w:val="9"/>
    <w:rsid w:val="000B5535"/>
    <w:rPr>
      <w:rFonts w:asciiTheme="majorHAnsi" w:eastAsiaTheme="majorEastAsia" w:hAnsiTheme="majorHAnsi" w:cstheme="majorBidi"/>
      <w:b/>
      <w:color w:val="ED7D31"/>
      <w:sz w:val="20"/>
      <w:szCs w:val="26"/>
    </w:rPr>
  </w:style>
  <w:style w:type="character" w:customStyle="1" w:styleId="Ttulo3Char">
    <w:name w:val="Título 3 Char"/>
    <w:basedOn w:val="Fontepargpadro"/>
    <w:link w:val="Ttulo3"/>
    <w:uiPriority w:val="9"/>
    <w:rsid w:val="000B5535"/>
    <w:rPr>
      <w:rFonts w:asciiTheme="majorHAnsi" w:eastAsiaTheme="majorEastAsia" w:hAnsiTheme="majorHAnsi" w:cstheme="majorBidi"/>
      <w:b/>
      <w:color w:val="ED7D31"/>
      <w:sz w:val="20"/>
      <w:szCs w:val="24"/>
    </w:rPr>
  </w:style>
  <w:style w:type="character" w:customStyle="1" w:styleId="Ttulo4Char">
    <w:name w:val="Título 4 Char"/>
    <w:basedOn w:val="Fontepargpadro"/>
    <w:link w:val="Ttulo4"/>
    <w:uiPriority w:val="9"/>
    <w:semiHidden/>
    <w:rsid w:val="000B5535"/>
    <w:rPr>
      <w:rFonts w:asciiTheme="majorHAnsi" w:eastAsiaTheme="majorEastAsia" w:hAnsiTheme="majorHAnsi" w:cstheme="majorBidi"/>
      <w:i/>
      <w:iCs/>
      <w:color w:val="365F91" w:themeColor="accent1" w:themeShade="BF"/>
      <w:sz w:val="20"/>
    </w:rPr>
  </w:style>
  <w:style w:type="character" w:customStyle="1" w:styleId="Ttulo5Char">
    <w:name w:val="Título 5 Char"/>
    <w:basedOn w:val="Fontepargpadro"/>
    <w:link w:val="Ttulo5"/>
    <w:uiPriority w:val="9"/>
    <w:semiHidden/>
    <w:rsid w:val="000B5535"/>
    <w:rPr>
      <w:rFonts w:asciiTheme="majorHAnsi" w:eastAsiaTheme="majorEastAsia" w:hAnsiTheme="majorHAnsi" w:cstheme="majorBidi"/>
      <w:color w:val="365F91" w:themeColor="accent1" w:themeShade="BF"/>
      <w:sz w:val="20"/>
    </w:rPr>
  </w:style>
  <w:style w:type="character" w:customStyle="1" w:styleId="Ttulo6Char">
    <w:name w:val="Título 6 Char"/>
    <w:basedOn w:val="Fontepargpadro"/>
    <w:link w:val="Ttulo6"/>
    <w:uiPriority w:val="9"/>
    <w:semiHidden/>
    <w:rsid w:val="000B5535"/>
    <w:rPr>
      <w:rFonts w:asciiTheme="majorHAnsi" w:eastAsiaTheme="majorEastAsia" w:hAnsiTheme="majorHAnsi" w:cstheme="majorBidi"/>
      <w:color w:val="243F60" w:themeColor="accent1" w:themeShade="7F"/>
      <w:sz w:val="20"/>
    </w:rPr>
  </w:style>
  <w:style w:type="character" w:customStyle="1" w:styleId="Ttulo7Char">
    <w:name w:val="Título 7 Char"/>
    <w:basedOn w:val="Fontepargpadro"/>
    <w:link w:val="Ttulo7"/>
    <w:uiPriority w:val="9"/>
    <w:semiHidden/>
    <w:rsid w:val="000B5535"/>
    <w:rPr>
      <w:rFonts w:asciiTheme="majorHAnsi" w:eastAsiaTheme="majorEastAsia" w:hAnsiTheme="majorHAnsi" w:cstheme="majorBidi"/>
      <w:i/>
      <w:iCs/>
      <w:color w:val="243F60" w:themeColor="accent1" w:themeShade="7F"/>
      <w:sz w:val="20"/>
    </w:rPr>
  </w:style>
  <w:style w:type="character" w:customStyle="1" w:styleId="Ttulo8Char">
    <w:name w:val="Título 8 Char"/>
    <w:basedOn w:val="Fontepargpadro"/>
    <w:link w:val="Ttulo8"/>
    <w:uiPriority w:val="9"/>
    <w:semiHidden/>
    <w:rsid w:val="000B5535"/>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0B5535"/>
    <w:rPr>
      <w:rFonts w:asciiTheme="majorHAnsi" w:eastAsiaTheme="majorEastAsia" w:hAnsiTheme="majorHAnsi" w:cstheme="majorBidi"/>
      <w:i/>
      <w:iCs/>
      <w:color w:val="272727" w:themeColor="text1" w:themeTint="D8"/>
      <w:sz w:val="21"/>
      <w:szCs w:val="21"/>
    </w:rPr>
  </w:style>
  <w:style w:type="paragraph" w:styleId="Sumrio1">
    <w:name w:val="toc 1"/>
    <w:basedOn w:val="Normal"/>
    <w:next w:val="Normal"/>
    <w:autoRedefine/>
    <w:uiPriority w:val="39"/>
    <w:unhideWhenUsed/>
    <w:rsid w:val="000B5535"/>
    <w:pPr>
      <w:spacing w:after="100" w:line="259" w:lineRule="auto"/>
    </w:pPr>
    <w:rPr>
      <w:rFonts w:asciiTheme="majorHAnsi" w:eastAsiaTheme="minorHAnsi" w:hAnsiTheme="majorHAnsi" w:cstheme="minorBidi"/>
      <w:color w:val="7F7F7F" w:themeColor="text1" w:themeTint="80"/>
      <w:sz w:val="20"/>
      <w:szCs w:val="22"/>
      <w:lang w:eastAsia="en-US"/>
    </w:rPr>
  </w:style>
  <w:style w:type="paragraph" w:styleId="CabealhodoSumrio">
    <w:name w:val="TOC Heading"/>
    <w:basedOn w:val="Ttulo1"/>
    <w:next w:val="Normal"/>
    <w:uiPriority w:val="39"/>
    <w:unhideWhenUsed/>
    <w:qFormat/>
    <w:rsid w:val="000B5535"/>
    <w:pPr>
      <w:outlineLvl w:val="9"/>
    </w:pPr>
    <w:rPr>
      <w:b w:val="0"/>
      <w:color w:val="365F91" w:themeColor="accent1" w:themeShade="BF"/>
      <w:sz w:val="32"/>
      <w:lang w:eastAsia="pt-BR"/>
    </w:rPr>
  </w:style>
  <w:style w:type="paragraph" w:styleId="Sumrio2">
    <w:name w:val="toc 2"/>
    <w:basedOn w:val="Normal"/>
    <w:next w:val="Normal"/>
    <w:autoRedefine/>
    <w:uiPriority w:val="39"/>
    <w:unhideWhenUsed/>
    <w:rsid w:val="000B5535"/>
    <w:pPr>
      <w:spacing w:after="100" w:line="259" w:lineRule="auto"/>
      <w:ind w:left="220"/>
    </w:pPr>
    <w:rPr>
      <w:rFonts w:asciiTheme="majorHAnsi" w:eastAsiaTheme="minorHAnsi" w:hAnsiTheme="majorHAnsi" w:cstheme="minorBidi"/>
      <w:color w:val="7F7F7F" w:themeColor="text1" w:themeTint="80"/>
      <w:sz w:val="20"/>
      <w:szCs w:val="22"/>
      <w:lang w:eastAsia="en-US"/>
    </w:rPr>
  </w:style>
  <w:style w:type="table" w:customStyle="1" w:styleId="TabeladeLista1Clara1">
    <w:name w:val="Tabela de Lista 1 Clara1"/>
    <w:basedOn w:val="Tabelanormal"/>
    <w:uiPriority w:val="46"/>
    <w:rsid w:val="000B553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Grade21">
    <w:name w:val="Tabela de Grade 21"/>
    <w:basedOn w:val="Tabelanormal"/>
    <w:uiPriority w:val="47"/>
    <w:rsid w:val="000B5535"/>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Simples31">
    <w:name w:val="Tabela Simples 31"/>
    <w:basedOn w:val="Tabelanormal"/>
    <w:uiPriority w:val="43"/>
    <w:rsid w:val="000B553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adeGrade2-nfase31">
    <w:name w:val="Tabela de Grade 2 - Ênfase 31"/>
    <w:basedOn w:val="Tabelanormal"/>
    <w:uiPriority w:val="47"/>
    <w:rsid w:val="000B5535"/>
    <w:pPr>
      <w:spacing w:after="0" w:line="240" w:lineRule="auto"/>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eladeGrade5Escura-nfase31">
    <w:name w:val="Tabela de Grade 5 Escura - Ênfase 31"/>
    <w:basedOn w:val="Tabelanormal"/>
    <w:uiPriority w:val="50"/>
    <w:rsid w:val="000B5535"/>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customStyle="1" w:styleId="apple-converted-space">
    <w:name w:val="apple-converted-space"/>
    <w:basedOn w:val="Fontepargpadro"/>
    <w:rsid w:val="000B5535"/>
  </w:style>
  <w:style w:type="paragraph" w:styleId="Reviso">
    <w:name w:val="Revision"/>
    <w:hidden/>
    <w:uiPriority w:val="99"/>
    <w:semiHidden/>
    <w:rsid w:val="000B5535"/>
    <w:pPr>
      <w:spacing w:after="0" w:line="240" w:lineRule="auto"/>
    </w:pPr>
  </w:style>
  <w:style w:type="character" w:styleId="TextodoEspaoReservado">
    <w:name w:val="Placeholder Text"/>
    <w:basedOn w:val="Fontepargpadro"/>
    <w:uiPriority w:val="99"/>
    <w:semiHidden/>
    <w:rsid w:val="000B5535"/>
    <w:rPr>
      <w:color w:val="808080"/>
    </w:rPr>
  </w:style>
  <w:style w:type="paragraph" w:styleId="Sumrio3">
    <w:name w:val="toc 3"/>
    <w:basedOn w:val="Normal"/>
    <w:next w:val="Normal"/>
    <w:autoRedefine/>
    <w:uiPriority w:val="39"/>
    <w:unhideWhenUsed/>
    <w:rsid w:val="000B5535"/>
    <w:pPr>
      <w:spacing w:after="100" w:line="259" w:lineRule="auto"/>
      <w:ind w:left="400"/>
    </w:pPr>
    <w:rPr>
      <w:rFonts w:asciiTheme="majorHAnsi" w:eastAsiaTheme="minorHAnsi" w:hAnsiTheme="majorHAnsi" w:cstheme="minorBidi"/>
      <w:color w:val="7F7F7F" w:themeColor="text1" w:themeTint="80"/>
      <w:sz w:val="2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65891">
      <w:bodyDiv w:val="1"/>
      <w:marLeft w:val="0"/>
      <w:marRight w:val="0"/>
      <w:marTop w:val="0"/>
      <w:marBottom w:val="0"/>
      <w:divBdr>
        <w:top w:val="none" w:sz="0" w:space="0" w:color="auto"/>
        <w:left w:val="none" w:sz="0" w:space="0" w:color="auto"/>
        <w:bottom w:val="none" w:sz="0" w:space="0" w:color="auto"/>
        <w:right w:val="none" w:sz="0" w:space="0" w:color="auto"/>
      </w:divBdr>
    </w:div>
    <w:div w:id="567421765">
      <w:bodyDiv w:val="1"/>
      <w:marLeft w:val="0"/>
      <w:marRight w:val="0"/>
      <w:marTop w:val="0"/>
      <w:marBottom w:val="0"/>
      <w:divBdr>
        <w:top w:val="none" w:sz="0" w:space="0" w:color="auto"/>
        <w:left w:val="none" w:sz="0" w:space="0" w:color="auto"/>
        <w:bottom w:val="none" w:sz="0" w:space="0" w:color="auto"/>
        <w:right w:val="none" w:sz="0" w:space="0" w:color="auto"/>
      </w:divBdr>
    </w:div>
    <w:div w:id="971983971">
      <w:bodyDiv w:val="1"/>
      <w:marLeft w:val="0"/>
      <w:marRight w:val="0"/>
      <w:marTop w:val="0"/>
      <w:marBottom w:val="0"/>
      <w:divBdr>
        <w:top w:val="none" w:sz="0" w:space="0" w:color="auto"/>
        <w:left w:val="none" w:sz="0" w:space="0" w:color="auto"/>
        <w:bottom w:val="none" w:sz="0" w:space="0" w:color="auto"/>
        <w:right w:val="none" w:sz="0" w:space="0" w:color="auto"/>
      </w:divBdr>
    </w:div>
    <w:div w:id="1148745416">
      <w:bodyDiv w:val="1"/>
      <w:marLeft w:val="0"/>
      <w:marRight w:val="0"/>
      <w:marTop w:val="0"/>
      <w:marBottom w:val="0"/>
      <w:divBdr>
        <w:top w:val="none" w:sz="0" w:space="0" w:color="auto"/>
        <w:left w:val="none" w:sz="0" w:space="0" w:color="auto"/>
        <w:bottom w:val="none" w:sz="0" w:space="0" w:color="auto"/>
        <w:right w:val="none" w:sz="0" w:space="0" w:color="auto"/>
      </w:divBdr>
      <w:divsChild>
        <w:div w:id="723715896">
          <w:marLeft w:val="0"/>
          <w:marRight w:val="0"/>
          <w:marTop w:val="0"/>
          <w:marBottom w:val="0"/>
          <w:divBdr>
            <w:top w:val="none" w:sz="0" w:space="0" w:color="auto"/>
            <w:left w:val="none" w:sz="0" w:space="0" w:color="auto"/>
            <w:bottom w:val="none" w:sz="0" w:space="0" w:color="auto"/>
            <w:right w:val="none" w:sz="0" w:space="0" w:color="auto"/>
          </w:divBdr>
        </w:div>
        <w:div w:id="2051147512">
          <w:marLeft w:val="0"/>
          <w:marRight w:val="0"/>
          <w:marTop w:val="0"/>
          <w:marBottom w:val="0"/>
          <w:divBdr>
            <w:top w:val="none" w:sz="0" w:space="0" w:color="auto"/>
            <w:left w:val="none" w:sz="0" w:space="0" w:color="auto"/>
            <w:bottom w:val="none" w:sz="0" w:space="0" w:color="auto"/>
            <w:right w:val="none" w:sz="0" w:space="0" w:color="auto"/>
          </w:divBdr>
        </w:div>
        <w:div w:id="1383284757">
          <w:marLeft w:val="0"/>
          <w:marRight w:val="0"/>
          <w:marTop w:val="0"/>
          <w:marBottom w:val="0"/>
          <w:divBdr>
            <w:top w:val="none" w:sz="0" w:space="0" w:color="auto"/>
            <w:left w:val="none" w:sz="0" w:space="0" w:color="auto"/>
            <w:bottom w:val="none" w:sz="0" w:space="0" w:color="auto"/>
            <w:right w:val="none" w:sz="0" w:space="0" w:color="auto"/>
          </w:divBdr>
        </w:div>
        <w:div w:id="196431622">
          <w:marLeft w:val="0"/>
          <w:marRight w:val="0"/>
          <w:marTop w:val="0"/>
          <w:marBottom w:val="0"/>
          <w:divBdr>
            <w:top w:val="none" w:sz="0" w:space="0" w:color="auto"/>
            <w:left w:val="none" w:sz="0" w:space="0" w:color="auto"/>
            <w:bottom w:val="none" w:sz="0" w:space="0" w:color="auto"/>
            <w:right w:val="none" w:sz="0" w:space="0" w:color="auto"/>
          </w:divBdr>
        </w:div>
      </w:divsChild>
    </w:div>
    <w:div w:id="1274824517">
      <w:bodyDiv w:val="1"/>
      <w:marLeft w:val="0"/>
      <w:marRight w:val="0"/>
      <w:marTop w:val="0"/>
      <w:marBottom w:val="0"/>
      <w:divBdr>
        <w:top w:val="none" w:sz="0" w:space="0" w:color="auto"/>
        <w:left w:val="none" w:sz="0" w:space="0" w:color="auto"/>
        <w:bottom w:val="none" w:sz="0" w:space="0" w:color="auto"/>
        <w:right w:val="none" w:sz="0" w:space="0" w:color="auto"/>
      </w:divBdr>
      <w:divsChild>
        <w:div w:id="1287463461">
          <w:marLeft w:val="0"/>
          <w:marRight w:val="0"/>
          <w:marTop w:val="0"/>
          <w:marBottom w:val="0"/>
          <w:divBdr>
            <w:top w:val="none" w:sz="0" w:space="0" w:color="auto"/>
            <w:left w:val="none" w:sz="0" w:space="0" w:color="auto"/>
            <w:bottom w:val="none" w:sz="0" w:space="0" w:color="auto"/>
            <w:right w:val="none" w:sz="0" w:space="0" w:color="auto"/>
          </w:divBdr>
        </w:div>
        <w:div w:id="1866018560">
          <w:marLeft w:val="0"/>
          <w:marRight w:val="0"/>
          <w:marTop w:val="0"/>
          <w:marBottom w:val="0"/>
          <w:divBdr>
            <w:top w:val="none" w:sz="0" w:space="0" w:color="auto"/>
            <w:left w:val="none" w:sz="0" w:space="0" w:color="auto"/>
            <w:bottom w:val="none" w:sz="0" w:space="0" w:color="auto"/>
            <w:right w:val="none" w:sz="0" w:space="0" w:color="auto"/>
          </w:divBdr>
        </w:div>
        <w:div w:id="803280166">
          <w:marLeft w:val="0"/>
          <w:marRight w:val="0"/>
          <w:marTop w:val="0"/>
          <w:marBottom w:val="0"/>
          <w:divBdr>
            <w:top w:val="none" w:sz="0" w:space="0" w:color="auto"/>
            <w:left w:val="none" w:sz="0" w:space="0" w:color="auto"/>
            <w:bottom w:val="none" w:sz="0" w:space="0" w:color="auto"/>
            <w:right w:val="none" w:sz="0" w:space="0" w:color="auto"/>
          </w:divBdr>
        </w:div>
        <w:div w:id="1660428972">
          <w:marLeft w:val="0"/>
          <w:marRight w:val="0"/>
          <w:marTop w:val="0"/>
          <w:marBottom w:val="0"/>
          <w:divBdr>
            <w:top w:val="none" w:sz="0" w:space="0" w:color="auto"/>
            <w:left w:val="none" w:sz="0" w:space="0" w:color="auto"/>
            <w:bottom w:val="none" w:sz="0" w:space="0" w:color="auto"/>
            <w:right w:val="none" w:sz="0" w:space="0" w:color="auto"/>
          </w:divBdr>
        </w:div>
        <w:div w:id="788822072">
          <w:marLeft w:val="0"/>
          <w:marRight w:val="0"/>
          <w:marTop w:val="0"/>
          <w:marBottom w:val="0"/>
          <w:divBdr>
            <w:top w:val="none" w:sz="0" w:space="0" w:color="auto"/>
            <w:left w:val="none" w:sz="0" w:space="0" w:color="auto"/>
            <w:bottom w:val="none" w:sz="0" w:space="0" w:color="auto"/>
            <w:right w:val="none" w:sz="0" w:space="0" w:color="auto"/>
          </w:divBdr>
        </w:div>
        <w:div w:id="866212041">
          <w:marLeft w:val="0"/>
          <w:marRight w:val="0"/>
          <w:marTop w:val="0"/>
          <w:marBottom w:val="0"/>
          <w:divBdr>
            <w:top w:val="none" w:sz="0" w:space="0" w:color="auto"/>
            <w:left w:val="none" w:sz="0" w:space="0" w:color="auto"/>
            <w:bottom w:val="none" w:sz="0" w:space="0" w:color="auto"/>
            <w:right w:val="none" w:sz="0" w:space="0" w:color="auto"/>
          </w:divBdr>
        </w:div>
        <w:div w:id="1076902379">
          <w:marLeft w:val="0"/>
          <w:marRight w:val="0"/>
          <w:marTop w:val="0"/>
          <w:marBottom w:val="0"/>
          <w:divBdr>
            <w:top w:val="none" w:sz="0" w:space="0" w:color="auto"/>
            <w:left w:val="none" w:sz="0" w:space="0" w:color="auto"/>
            <w:bottom w:val="none" w:sz="0" w:space="0" w:color="auto"/>
            <w:right w:val="none" w:sz="0" w:space="0" w:color="auto"/>
          </w:divBdr>
        </w:div>
        <w:div w:id="251204270">
          <w:marLeft w:val="0"/>
          <w:marRight w:val="0"/>
          <w:marTop w:val="0"/>
          <w:marBottom w:val="0"/>
          <w:divBdr>
            <w:top w:val="none" w:sz="0" w:space="0" w:color="auto"/>
            <w:left w:val="none" w:sz="0" w:space="0" w:color="auto"/>
            <w:bottom w:val="none" w:sz="0" w:space="0" w:color="auto"/>
            <w:right w:val="none" w:sz="0" w:space="0" w:color="auto"/>
          </w:divBdr>
        </w:div>
        <w:div w:id="697007311">
          <w:marLeft w:val="0"/>
          <w:marRight w:val="0"/>
          <w:marTop w:val="0"/>
          <w:marBottom w:val="0"/>
          <w:divBdr>
            <w:top w:val="none" w:sz="0" w:space="0" w:color="auto"/>
            <w:left w:val="none" w:sz="0" w:space="0" w:color="auto"/>
            <w:bottom w:val="none" w:sz="0" w:space="0" w:color="auto"/>
            <w:right w:val="none" w:sz="0" w:space="0" w:color="auto"/>
          </w:divBdr>
        </w:div>
        <w:div w:id="888305715">
          <w:marLeft w:val="0"/>
          <w:marRight w:val="0"/>
          <w:marTop w:val="0"/>
          <w:marBottom w:val="0"/>
          <w:divBdr>
            <w:top w:val="none" w:sz="0" w:space="0" w:color="auto"/>
            <w:left w:val="none" w:sz="0" w:space="0" w:color="auto"/>
            <w:bottom w:val="none" w:sz="0" w:space="0" w:color="auto"/>
            <w:right w:val="none" w:sz="0" w:space="0" w:color="auto"/>
          </w:divBdr>
        </w:div>
        <w:div w:id="1969781495">
          <w:marLeft w:val="0"/>
          <w:marRight w:val="0"/>
          <w:marTop w:val="0"/>
          <w:marBottom w:val="0"/>
          <w:divBdr>
            <w:top w:val="none" w:sz="0" w:space="0" w:color="auto"/>
            <w:left w:val="none" w:sz="0" w:space="0" w:color="auto"/>
            <w:bottom w:val="none" w:sz="0" w:space="0" w:color="auto"/>
            <w:right w:val="none" w:sz="0" w:space="0" w:color="auto"/>
          </w:divBdr>
        </w:div>
        <w:div w:id="225990856">
          <w:marLeft w:val="0"/>
          <w:marRight w:val="0"/>
          <w:marTop w:val="0"/>
          <w:marBottom w:val="0"/>
          <w:divBdr>
            <w:top w:val="none" w:sz="0" w:space="0" w:color="auto"/>
            <w:left w:val="none" w:sz="0" w:space="0" w:color="auto"/>
            <w:bottom w:val="none" w:sz="0" w:space="0" w:color="auto"/>
            <w:right w:val="none" w:sz="0" w:space="0" w:color="auto"/>
          </w:divBdr>
        </w:div>
        <w:div w:id="191575802">
          <w:marLeft w:val="0"/>
          <w:marRight w:val="0"/>
          <w:marTop w:val="0"/>
          <w:marBottom w:val="0"/>
          <w:divBdr>
            <w:top w:val="none" w:sz="0" w:space="0" w:color="auto"/>
            <w:left w:val="none" w:sz="0" w:space="0" w:color="auto"/>
            <w:bottom w:val="none" w:sz="0" w:space="0" w:color="auto"/>
            <w:right w:val="none" w:sz="0" w:space="0" w:color="auto"/>
          </w:divBdr>
        </w:div>
        <w:div w:id="841240708">
          <w:marLeft w:val="0"/>
          <w:marRight w:val="0"/>
          <w:marTop w:val="0"/>
          <w:marBottom w:val="0"/>
          <w:divBdr>
            <w:top w:val="none" w:sz="0" w:space="0" w:color="auto"/>
            <w:left w:val="none" w:sz="0" w:space="0" w:color="auto"/>
            <w:bottom w:val="none" w:sz="0" w:space="0" w:color="auto"/>
            <w:right w:val="none" w:sz="0" w:space="0" w:color="auto"/>
          </w:divBdr>
        </w:div>
        <w:div w:id="76371298">
          <w:marLeft w:val="0"/>
          <w:marRight w:val="0"/>
          <w:marTop w:val="0"/>
          <w:marBottom w:val="0"/>
          <w:divBdr>
            <w:top w:val="none" w:sz="0" w:space="0" w:color="auto"/>
            <w:left w:val="none" w:sz="0" w:space="0" w:color="auto"/>
            <w:bottom w:val="none" w:sz="0" w:space="0" w:color="auto"/>
            <w:right w:val="none" w:sz="0" w:space="0" w:color="auto"/>
          </w:divBdr>
        </w:div>
        <w:div w:id="666252742">
          <w:marLeft w:val="0"/>
          <w:marRight w:val="0"/>
          <w:marTop w:val="0"/>
          <w:marBottom w:val="0"/>
          <w:divBdr>
            <w:top w:val="none" w:sz="0" w:space="0" w:color="auto"/>
            <w:left w:val="none" w:sz="0" w:space="0" w:color="auto"/>
            <w:bottom w:val="none" w:sz="0" w:space="0" w:color="auto"/>
            <w:right w:val="none" w:sz="0" w:space="0" w:color="auto"/>
          </w:divBdr>
        </w:div>
        <w:div w:id="227349358">
          <w:marLeft w:val="0"/>
          <w:marRight w:val="0"/>
          <w:marTop w:val="0"/>
          <w:marBottom w:val="0"/>
          <w:divBdr>
            <w:top w:val="none" w:sz="0" w:space="0" w:color="auto"/>
            <w:left w:val="none" w:sz="0" w:space="0" w:color="auto"/>
            <w:bottom w:val="none" w:sz="0" w:space="0" w:color="auto"/>
            <w:right w:val="none" w:sz="0" w:space="0" w:color="auto"/>
          </w:divBdr>
        </w:div>
        <w:div w:id="1864245427">
          <w:marLeft w:val="0"/>
          <w:marRight w:val="0"/>
          <w:marTop w:val="0"/>
          <w:marBottom w:val="0"/>
          <w:divBdr>
            <w:top w:val="none" w:sz="0" w:space="0" w:color="auto"/>
            <w:left w:val="none" w:sz="0" w:space="0" w:color="auto"/>
            <w:bottom w:val="none" w:sz="0" w:space="0" w:color="auto"/>
            <w:right w:val="none" w:sz="0" w:space="0" w:color="auto"/>
          </w:divBdr>
        </w:div>
        <w:div w:id="158810655">
          <w:marLeft w:val="0"/>
          <w:marRight w:val="0"/>
          <w:marTop w:val="0"/>
          <w:marBottom w:val="0"/>
          <w:divBdr>
            <w:top w:val="none" w:sz="0" w:space="0" w:color="auto"/>
            <w:left w:val="none" w:sz="0" w:space="0" w:color="auto"/>
            <w:bottom w:val="none" w:sz="0" w:space="0" w:color="auto"/>
            <w:right w:val="none" w:sz="0" w:space="0" w:color="auto"/>
          </w:divBdr>
        </w:div>
        <w:div w:id="1258636692">
          <w:marLeft w:val="0"/>
          <w:marRight w:val="0"/>
          <w:marTop w:val="0"/>
          <w:marBottom w:val="0"/>
          <w:divBdr>
            <w:top w:val="none" w:sz="0" w:space="0" w:color="auto"/>
            <w:left w:val="none" w:sz="0" w:space="0" w:color="auto"/>
            <w:bottom w:val="none" w:sz="0" w:space="0" w:color="auto"/>
            <w:right w:val="none" w:sz="0" w:space="0" w:color="auto"/>
          </w:divBdr>
        </w:div>
        <w:div w:id="1709067383">
          <w:marLeft w:val="0"/>
          <w:marRight w:val="0"/>
          <w:marTop w:val="0"/>
          <w:marBottom w:val="0"/>
          <w:divBdr>
            <w:top w:val="none" w:sz="0" w:space="0" w:color="auto"/>
            <w:left w:val="none" w:sz="0" w:space="0" w:color="auto"/>
            <w:bottom w:val="none" w:sz="0" w:space="0" w:color="auto"/>
            <w:right w:val="none" w:sz="0" w:space="0" w:color="auto"/>
          </w:divBdr>
        </w:div>
        <w:div w:id="31271086">
          <w:marLeft w:val="0"/>
          <w:marRight w:val="0"/>
          <w:marTop w:val="0"/>
          <w:marBottom w:val="0"/>
          <w:divBdr>
            <w:top w:val="none" w:sz="0" w:space="0" w:color="auto"/>
            <w:left w:val="none" w:sz="0" w:space="0" w:color="auto"/>
            <w:bottom w:val="none" w:sz="0" w:space="0" w:color="auto"/>
            <w:right w:val="none" w:sz="0" w:space="0" w:color="auto"/>
          </w:divBdr>
        </w:div>
        <w:div w:id="1082215629">
          <w:marLeft w:val="0"/>
          <w:marRight w:val="0"/>
          <w:marTop w:val="0"/>
          <w:marBottom w:val="0"/>
          <w:divBdr>
            <w:top w:val="none" w:sz="0" w:space="0" w:color="auto"/>
            <w:left w:val="none" w:sz="0" w:space="0" w:color="auto"/>
            <w:bottom w:val="none" w:sz="0" w:space="0" w:color="auto"/>
            <w:right w:val="none" w:sz="0" w:space="0" w:color="auto"/>
          </w:divBdr>
        </w:div>
        <w:div w:id="1770198852">
          <w:marLeft w:val="0"/>
          <w:marRight w:val="0"/>
          <w:marTop w:val="0"/>
          <w:marBottom w:val="0"/>
          <w:divBdr>
            <w:top w:val="none" w:sz="0" w:space="0" w:color="auto"/>
            <w:left w:val="none" w:sz="0" w:space="0" w:color="auto"/>
            <w:bottom w:val="none" w:sz="0" w:space="0" w:color="auto"/>
            <w:right w:val="none" w:sz="0" w:space="0" w:color="auto"/>
          </w:divBdr>
        </w:div>
        <w:div w:id="252512524">
          <w:marLeft w:val="0"/>
          <w:marRight w:val="0"/>
          <w:marTop w:val="0"/>
          <w:marBottom w:val="0"/>
          <w:divBdr>
            <w:top w:val="none" w:sz="0" w:space="0" w:color="auto"/>
            <w:left w:val="none" w:sz="0" w:space="0" w:color="auto"/>
            <w:bottom w:val="none" w:sz="0" w:space="0" w:color="auto"/>
            <w:right w:val="none" w:sz="0" w:space="0" w:color="auto"/>
          </w:divBdr>
        </w:div>
        <w:div w:id="233593619">
          <w:marLeft w:val="0"/>
          <w:marRight w:val="0"/>
          <w:marTop w:val="0"/>
          <w:marBottom w:val="0"/>
          <w:divBdr>
            <w:top w:val="none" w:sz="0" w:space="0" w:color="auto"/>
            <w:left w:val="none" w:sz="0" w:space="0" w:color="auto"/>
            <w:bottom w:val="none" w:sz="0" w:space="0" w:color="auto"/>
            <w:right w:val="none" w:sz="0" w:space="0" w:color="auto"/>
          </w:divBdr>
        </w:div>
        <w:div w:id="386532995">
          <w:marLeft w:val="0"/>
          <w:marRight w:val="0"/>
          <w:marTop w:val="0"/>
          <w:marBottom w:val="0"/>
          <w:divBdr>
            <w:top w:val="none" w:sz="0" w:space="0" w:color="auto"/>
            <w:left w:val="none" w:sz="0" w:space="0" w:color="auto"/>
            <w:bottom w:val="none" w:sz="0" w:space="0" w:color="auto"/>
            <w:right w:val="none" w:sz="0" w:space="0" w:color="auto"/>
          </w:divBdr>
        </w:div>
        <w:div w:id="1732999675">
          <w:marLeft w:val="0"/>
          <w:marRight w:val="0"/>
          <w:marTop w:val="0"/>
          <w:marBottom w:val="0"/>
          <w:divBdr>
            <w:top w:val="none" w:sz="0" w:space="0" w:color="auto"/>
            <w:left w:val="none" w:sz="0" w:space="0" w:color="auto"/>
            <w:bottom w:val="none" w:sz="0" w:space="0" w:color="auto"/>
            <w:right w:val="none" w:sz="0" w:space="0" w:color="auto"/>
          </w:divBdr>
        </w:div>
        <w:div w:id="891159352">
          <w:marLeft w:val="0"/>
          <w:marRight w:val="0"/>
          <w:marTop w:val="0"/>
          <w:marBottom w:val="0"/>
          <w:divBdr>
            <w:top w:val="none" w:sz="0" w:space="0" w:color="auto"/>
            <w:left w:val="none" w:sz="0" w:space="0" w:color="auto"/>
            <w:bottom w:val="none" w:sz="0" w:space="0" w:color="auto"/>
            <w:right w:val="none" w:sz="0" w:space="0" w:color="auto"/>
          </w:divBdr>
        </w:div>
        <w:div w:id="2116485832">
          <w:marLeft w:val="0"/>
          <w:marRight w:val="0"/>
          <w:marTop w:val="0"/>
          <w:marBottom w:val="0"/>
          <w:divBdr>
            <w:top w:val="none" w:sz="0" w:space="0" w:color="auto"/>
            <w:left w:val="none" w:sz="0" w:space="0" w:color="auto"/>
            <w:bottom w:val="none" w:sz="0" w:space="0" w:color="auto"/>
            <w:right w:val="none" w:sz="0" w:space="0" w:color="auto"/>
          </w:divBdr>
        </w:div>
      </w:divsChild>
    </w:div>
    <w:div w:id="1323436536">
      <w:bodyDiv w:val="1"/>
      <w:marLeft w:val="0"/>
      <w:marRight w:val="0"/>
      <w:marTop w:val="0"/>
      <w:marBottom w:val="0"/>
      <w:divBdr>
        <w:top w:val="none" w:sz="0" w:space="0" w:color="auto"/>
        <w:left w:val="none" w:sz="0" w:space="0" w:color="auto"/>
        <w:bottom w:val="none" w:sz="0" w:space="0" w:color="auto"/>
        <w:right w:val="none" w:sz="0" w:space="0" w:color="auto"/>
      </w:divBdr>
    </w:div>
    <w:div w:id="1403261094">
      <w:bodyDiv w:val="1"/>
      <w:marLeft w:val="0"/>
      <w:marRight w:val="0"/>
      <w:marTop w:val="0"/>
      <w:marBottom w:val="0"/>
      <w:divBdr>
        <w:top w:val="none" w:sz="0" w:space="0" w:color="auto"/>
        <w:left w:val="none" w:sz="0" w:space="0" w:color="auto"/>
        <w:bottom w:val="none" w:sz="0" w:space="0" w:color="auto"/>
        <w:right w:val="none" w:sz="0" w:space="0" w:color="auto"/>
      </w:divBdr>
    </w:div>
    <w:div w:id="1448353169">
      <w:bodyDiv w:val="1"/>
      <w:marLeft w:val="0"/>
      <w:marRight w:val="0"/>
      <w:marTop w:val="0"/>
      <w:marBottom w:val="0"/>
      <w:divBdr>
        <w:top w:val="none" w:sz="0" w:space="0" w:color="auto"/>
        <w:left w:val="none" w:sz="0" w:space="0" w:color="auto"/>
        <w:bottom w:val="none" w:sz="0" w:space="0" w:color="auto"/>
        <w:right w:val="none" w:sz="0" w:space="0" w:color="auto"/>
      </w:divBdr>
    </w:div>
    <w:div w:id="1770659372">
      <w:bodyDiv w:val="1"/>
      <w:marLeft w:val="0"/>
      <w:marRight w:val="0"/>
      <w:marTop w:val="0"/>
      <w:marBottom w:val="0"/>
      <w:divBdr>
        <w:top w:val="none" w:sz="0" w:space="0" w:color="auto"/>
        <w:left w:val="none" w:sz="0" w:space="0" w:color="auto"/>
        <w:bottom w:val="none" w:sz="0" w:space="0" w:color="auto"/>
        <w:right w:val="none" w:sz="0" w:space="0" w:color="auto"/>
      </w:divBdr>
    </w:div>
    <w:div w:id="1817987977">
      <w:bodyDiv w:val="1"/>
      <w:marLeft w:val="0"/>
      <w:marRight w:val="0"/>
      <w:marTop w:val="0"/>
      <w:marBottom w:val="0"/>
      <w:divBdr>
        <w:top w:val="none" w:sz="0" w:space="0" w:color="auto"/>
        <w:left w:val="none" w:sz="0" w:space="0" w:color="auto"/>
        <w:bottom w:val="none" w:sz="0" w:space="0" w:color="auto"/>
        <w:right w:val="none" w:sz="0" w:space="0" w:color="auto"/>
      </w:divBdr>
      <w:divsChild>
        <w:div w:id="1885289908">
          <w:marLeft w:val="0"/>
          <w:marRight w:val="0"/>
          <w:marTop w:val="0"/>
          <w:marBottom w:val="0"/>
          <w:divBdr>
            <w:top w:val="none" w:sz="0" w:space="0" w:color="auto"/>
            <w:left w:val="none" w:sz="0" w:space="0" w:color="auto"/>
            <w:bottom w:val="none" w:sz="0" w:space="0" w:color="auto"/>
            <w:right w:val="none" w:sz="0" w:space="0" w:color="auto"/>
          </w:divBdr>
        </w:div>
        <w:div w:id="814906195">
          <w:marLeft w:val="0"/>
          <w:marRight w:val="0"/>
          <w:marTop w:val="0"/>
          <w:marBottom w:val="0"/>
          <w:divBdr>
            <w:top w:val="none" w:sz="0" w:space="0" w:color="auto"/>
            <w:left w:val="none" w:sz="0" w:space="0" w:color="auto"/>
            <w:bottom w:val="none" w:sz="0" w:space="0" w:color="auto"/>
            <w:right w:val="none" w:sz="0" w:space="0" w:color="auto"/>
          </w:divBdr>
        </w:div>
        <w:div w:id="1029256652">
          <w:marLeft w:val="0"/>
          <w:marRight w:val="0"/>
          <w:marTop w:val="0"/>
          <w:marBottom w:val="0"/>
          <w:divBdr>
            <w:top w:val="none" w:sz="0" w:space="0" w:color="auto"/>
            <w:left w:val="none" w:sz="0" w:space="0" w:color="auto"/>
            <w:bottom w:val="none" w:sz="0" w:space="0" w:color="auto"/>
            <w:right w:val="none" w:sz="0" w:space="0" w:color="auto"/>
          </w:divBdr>
        </w:div>
        <w:div w:id="1657341812">
          <w:marLeft w:val="0"/>
          <w:marRight w:val="0"/>
          <w:marTop w:val="0"/>
          <w:marBottom w:val="0"/>
          <w:divBdr>
            <w:top w:val="none" w:sz="0" w:space="0" w:color="auto"/>
            <w:left w:val="none" w:sz="0" w:space="0" w:color="auto"/>
            <w:bottom w:val="none" w:sz="0" w:space="0" w:color="auto"/>
            <w:right w:val="none" w:sz="0" w:space="0" w:color="auto"/>
          </w:divBdr>
        </w:div>
      </w:divsChild>
    </w:div>
    <w:div w:id="1908761076">
      <w:bodyDiv w:val="1"/>
      <w:marLeft w:val="0"/>
      <w:marRight w:val="0"/>
      <w:marTop w:val="0"/>
      <w:marBottom w:val="0"/>
      <w:divBdr>
        <w:top w:val="none" w:sz="0" w:space="0" w:color="auto"/>
        <w:left w:val="none" w:sz="0" w:space="0" w:color="auto"/>
        <w:bottom w:val="none" w:sz="0" w:space="0" w:color="auto"/>
        <w:right w:val="none" w:sz="0" w:space="0" w:color="auto"/>
      </w:divBdr>
    </w:div>
    <w:div w:id="2064214509">
      <w:bodyDiv w:val="1"/>
      <w:marLeft w:val="0"/>
      <w:marRight w:val="0"/>
      <w:marTop w:val="0"/>
      <w:marBottom w:val="0"/>
      <w:divBdr>
        <w:top w:val="none" w:sz="0" w:space="0" w:color="auto"/>
        <w:left w:val="none" w:sz="0" w:space="0" w:color="auto"/>
        <w:bottom w:val="none" w:sz="0" w:space="0" w:color="auto"/>
        <w:right w:val="none" w:sz="0" w:space="0" w:color="auto"/>
      </w:divBdr>
    </w:div>
    <w:div w:id="2087611636">
      <w:bodyDiv w:val="1"/>
      <w:marLeft w:val="0"/>
      <w:marRight w:val="0"/>
      <w:marTop w:val="0"/>
      <w:marBottom w:val="0"/>
      <w:divBdr>
        <w:top w:val="none" w:sz="0" w:space="0" w:color="auto"/>
        <w:left w:val="none" w:sz="0" w:space="0" w:color="auto"/>
        <w:bottom w:val="none" w:sz="0" w:space="0" w:color="auto"/>
        <w:right w:val="none" w:sz="0" w:space="0" w:color="auto"/>
      </w:divBdr>
    </w:div>
    <w:div w:id="212141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ru.com.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ntato@siru.com.b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B6F93-FC3F-4942-8274-B4EB0D426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10646</TotalTime>
  <Pages>19</Pages>
  <Words>7800</Words>
  <Characters>42123</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dc:creator>
  <cp:lastModifiedBy>diretoria</cp:lastModifiedBy>
  <cp:revision>174</cp:revision>
  <cp:lastPrinted>2017-12-06T18:35:00Z</cp:lastPrinted>
  <dcterms:created xsi:type="dcterms:W3CDTF">2015-06-30T13:49:00Z</dcterms:created>
  <dcterms:modified xsi:type="dcterms:W3CDTF">2018-01-23T16:07:00Z</dcterms:modified>
</cp:coreProperties>
</file>